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8503D" w14:textId="77777777" w:rsidR="002859E5" w:rsidRDefault="002859E5" w:rsidP="002530D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noProof/>
          <w:lang w:eastAsia="hr-HR"/>
        </w:rPr>
        <w:drawing>
          <wp:anchor distT="0" distB="360045" distL="0" distR="360045" simplePos="0" relativeHeight="251661312" behindDoc="0" locked="1" layoutInCell="1" allowOverlap="1" wp14:anchorId="7645183C" wp14:editId="11EC7345">
            <wp:simplePos x="0" y="0"/>
            <wp:positionH relativeFrom="page">
              <wp:posOffset>837565</wp:posOffset>
            </wp:positionH>
            <wp:positionV relativeFrom="page">
              <wp:posOffset>685165</wp:posOffset>
            </wp:positionV>
            <wp:extent cx="992505" cy="1047750"/>
            <wp:effectExtent l="0" t="0" r="0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_coatedV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 xml:space="preserve">     </w:t>
      </w:r>
    </w:p>
    <w:p w14:paraId="5DDEB392" w14:textId="370EDE6E" w:rsidR="002859E5" w:rsidRDefault="002859E5" w:rsidP="002530D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</w:t>
      </w:r>
    </w:p>
    <w:p w14:paraId="5077FCEC" w14:textId="77777777" w:rsidR="002859E5" w:rsidRDefault="002859E5" w:rsidP="002530D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2874EBC" w14:textId="4042E800" w:rsidR="002530D4" w:rsidRPr="00A17E06" w:rsidRDefault="002530D4" w:rsidP="00C25A5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E06">
        <w:rPr>
          <w:rFonts w:ascii="Arial" w:hAnsi="Arial" w:cs="Arial"/>
          <w:b/>
          <w:sz w:val="20"/>
          <w:szCs w:val="20"/>
        </w:rPr>
        <w:t>Javna ustanova Interpretacijski centar Vlaški puti</w:t>
      </w:r>
    </w:p>
    <w:p w14:paraId="2BE455C5" w14:textId="53700D42" w:rsidR="002530D4" w:rsidRPr="00A17E06" w:rsidRDefault="002530D4" w:rsidP="008D67C2">
      <w:pPr>
        <w:tabs>
          <w:tab w:val="left" w:pos="590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7E06">
        <w:rPr>
          <w:rFonts w:ascii="Arial" w:hAnsi="Arial" w:cs="Arial"/>
          <w:sz w:val="20"/>
          <w:szCs w:val="20"/>
        </w:rPr>
        <w:t>Šušnjevica 6, 52233 Šušnjevica,</w:t>
      </w:r>
      <w:r w:rsidR="008D67C2">
        <w:rPr>
          <w:rFonts w:ascii="Arial" w:hAnsi="Arial" w:cs="Arial"/>
          <w:sz w:val="20"/>
          <w:szCs w:val="20"/>
        </w:rPr>
        <w:tab/>
      </w:r>
    </w:p>
    <w:p w14:paraId="71BB2760" w14:textId="77777777" w:rsidR="002530D4" w:rsidRPr="00A17E06" w:rsidRDefault="002530D4" w:rsidP="002530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17E06">
        <w:rPr>
          <w:rFonts w:ascii="Arial" w:hAnsi="Arial" w:cs="Arial"/>
          <w:sz w:val="20"/>
          <w:szCs w:val="20"/>
        </w:rPr>
        <w:t>T.+385(0)52 743 662</w:t>
      </w:r>
    </w:p>
    <w:bookmarkStart w:id="1" w:name="_Hlk83463313"/>
    <w:p w14:paraId="33E292A6" w14:textId="6570BDF6" w:rsidR="002530D4" w:rsidRPr="00BF19A8" w:rsidRDefault="002530D4" w:rsidP="002530D4">
      <w:pPr>
        <w:pStyle w:val="Bezproreda"/>
        <w:rPr>
          <w:sz w:val="18"/>
          <w:szCs w:val="18"/>
        </w:rPr>
      </w:pPr>
      <w:r w:rsidRPr="00BF19A8">
        <w:rPr>
          <w:rFonts w:ascii="Times New Roman" w:hAnsi="Times New Roman"/>
          <w:lang w:val="en-US"/>
        </w:rPr>
        <w:fldChar w:fldCharType="begin"/>
      </w:r>
      <w:r w:rsidRPr="00BF19A8">
        <w:rPr>
          <w:sz w:val="18"/>
          <w:szCs w:val="18"/>
        </w:rPr>
        <w:instrText xml:space="preserve"> HYPERLINK "mailto:Info@vlaskiputi.com" </w:instrText>
      </w:r>
      <w:r w:rsidRPr="00BF19A8">
        <w:rPr>
          <w:rFonts w:ascii="Times New Roman" w:hAnsi="Times New Roman"/>
          <w:lang w:val="en-US"/>
        </w:rPr>
        <w:fldChar w:fldCharType="separate"/>
      </w:r>
      <w:r w:rsidRPr="00BF19A8">
        <w:rPr>
          <w:rStyle w:val="Hiperveza"/>
          <w:rFonts w:cs="Arial"/>
          <w:sz w:val="18"/>
          <w:szCs w:val="18"/>
        </w:rPr>
        <w:t>Info@vlaskiputi.com</w:t>
      </w:r>
      <w:r w:rsidRPr="00BF19A8">
        <w:rPr>
          <w:rStyle w:val="Hiperveza"/>
          <w:rFonts w:cs="Arial"/>
          <w:sz w:val="18"/>
          <w:szCs w:val="18"/>
        </w:rPr>
        <w:fldChar w:fldCharType="end"/>
      </w:r>
      <w:r w:rsidRPr="00BF19A8">
        <w:rPr>
          <w:sz w:val="18"/>
          <w:szCs w:val="18"/>
        </w:rPr>
        <w:t xml:space="preserve"> </w:t>
      </w:r>
      <w:bookmarkEnd w:id="1"/>
      <w:r w:rsidRPr="00BF19A8">
        <w:rPr>
          <w:sz w:val="18"/>
          <w:szCs w:val="18"/>
        </w:rPr>
        <w:tab/>
      </w:r>
    </w:p>
    <w:p w14:paraId="1620BF0D" w14:textId="77777777" w:rsidR="002530D4" w:rsidRPr="00BF19A8" w:rsidRDefault="00687C12" w:rsidP="002530D4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2530D4" w:rsidRPr="00BF19A8">
          <w:rPr>
            <w:rStyle w:val="Hiperveza"/>
            <w:rFonts w:ascii="Arial" w:hAnsi="Arial" w:cs="Arial"/>
            <w:sz w:val="18"/>
            <w:szCs w:val="18"/>
          </w:rPr>
          <w:t>www.vlaskiputi.com</w:t>
        </w:r>
      </w:hyperlink>
    </w:p>
    <w:p w14:paraId="6F001132" w14:textId="77777777" w:rsidR="00B9059C" w:rsidRDefault="002530D4" w:rsidP="00B9059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F19A8">
        <w:rPr>
          <w:rFonts w:ascii="Arial" w:hAnsi="Arial" w:cs="Arial"/>
          <w:sz w:val="16"/>
          <w:szCs w:val="16"/>
        </w:rPr>
        <w:t>OIB 60281760668</w:t>
      </w:r>
      <w:r w:rsidRPr="00BF19A8">
        <w:rPr>
          <w:rFonts w:ascii="Arial" w:hAnsi="Arial" w:cs="Arial"/>
          <w:sz w:val="16"/>
          <w:szCs w:val="16"/>
        </w:rPr>
        <w:tab/>
        <w:t>IBAN</w:t>
      </w:r>
      <w:r w:rsidR="00C25A50">
        <w:rPr>
          <w:rFonts w:ascii="Arial" w:hAnsi="Arial" w:cs="Arial"/>
          <w:sz w:val="16"/>
          <w:szCs w:val="16"/>
        </w:rPr>
        <w:t xml:space="preserve"> </w:t>
      </w:r>
      <w:r w:rsidRPr="00BF19A8">
        <w:rPr>
          <w:rFonts w:ascii="Arial" w:hAnsi="Arial" w:cs="Arial"/>
          <w:sz w:val="16"/>
          <w:szCs w:val="16"/>
        </w:rPr>
        <w:t>9423400091111135671</w:t>
      </w:r>
      <w:r w:rsidRPr="00A17E06">
        <w:rPr>
          <w:rFonts w:ascii="Arial" w:hAnsi="Arial" w:cs="Arial"/>
          <w:sz w:val="20"/>
          <w:szCs w:val="20"/>
        </w:rPr>
        <w:t xml:space="preserve"> </w:t>
      </w:r>
    </w:p>
    <w:p w14:paraId="5D0C3BCA" w14:textId="77777777" w:rsidR="00B9059C" w:rsidRDefault="00B9059C" w:rsidP="00B9059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14B0EF" w14:textId="08FD44A8" w:rsidR="00597A9A" w:rsidRPr="00597A9A" w:rsidRDefault="00597A9A" w:rsidP="00597A9A">
      <w:pPr>
        <w:spacing w:after="0" w:line="240" w:lineRule="auto"/>
        <w:rPr>
          <w:rFonts w:ascii="Arial" w:hAnsi="Arial" w:cs="Arial"/>
          <w:sz w:val="22"/>
          <w:lang w:val="en-GB"/>
        </w:rPr>
      </w:pPr>
      <w:r w:rsidRPr="00597A9A">
        <w:rPr>
          <w:rFonts w:ascii="Arial" w:hAnsi="Arial" w:cs="Arial"/>
          <w:sz w:val="22"/>
          <w:lang w:val="en-GB"/>
        </w:rPr>
        <w:t xml:space="preserve">KLASA: </w:t>
      </w:r>
      <w:r w:rsidR="00B73999" w:rsidRPr="00B73999">
        <w:rPr>
          <w:rFonts w:ascii="Arial" w:hAnsi="Arial" w:cs="Arial"/>
          <w:sz w:val="22"/>
        </w:rPr>
        <w:t>400-02/26-01/01</w:t>
      </w:r>
    </w:p>
    <w:p w14:paraId="74D499E9" w14:textId="0741344E" w:rsidR="00597A9A" w:rsidRPr="00597A9A" w:rsidRDefault="00597A9A" w:rsidP="00597A9A">
      <w:pPr>
        <w:spacing w:after="0" w:line="240" w:lineRule="auto"/>
        <w:rPr>
          <w:rFonts w:ascii="Arial" w:hAnsi="Arial" w:cs="Arial"/>
          <w:sz w:val="22"/>
          <w:lang w:val="en-GB"/>
        </w:rPr>
      </w:pPr>
      <w:r w:rsidRPr="00597A9A">
        <w:rPr>
          <w:rFonts w:ascii="Arial" w:hAnsi="Arial" w:cs="Arial"/>
          <w:sz w:val="22"/>
          <w:lang w:val="en-GB"/>
        </w:rPr>
        <w:t xml:space="preserve">URBROJ: </w:t>
      </w:r>
      <w:r w:rsidR="00B73999" w:rsidRPr="00B73999">
        <w:rPr>
          <w:rFonts w:ascii="Arial" w:hAnsi="Arial" w:cs="Arial"/>
          <w:sz w:val="22"/>
        </w:rPr>
        <w:t>2144/4-58-03-26-2</w:t>
      </w:r>
    </w:p>
    <w:p w14:paraId="014E19E9" w14:textId="4461B619" w:rsidR="002530D4" w:rsidRPr="00B9059C" w:rsidRDefault="00B9059C" w:rsidP="00B9059C">
      <w:pPr>
        <w:spacing w:after="0" w:line="240" w:lineRule="auto"/>
        <w:rPr>
          <w:rFonts w:ascii="Arial" w:hAnsi="Arial" w:cs="Arial"/>
          <w:sz w:val="22"/>
        </w:rPr>
      </w:pPr>
      <w:r w:rsidRPr="00B9059C">
        <w:rPr>
          <w:rFonts w:ascii="Arial" w:hAnsi="Arial" w:cs="Arial"/>
          <w:sz w:val="22"/>
        </w:rPr>
        <w:t>Šušnjevica,</w:t>
      </w:r>
      <w:r w:rsidR="00A9077E">
        <w:rPr>
          <w:rFonts w:ascii="Arial" w:hAnsi="Arial" w:cs="Arial"/>
          <w:sz w:val="22"/>
        </w:rPr>
        <w:t xml:space="preserve"> </w:t>
      </w:r>
      <w:r w:rsidR="00B73999">
        <w:rPr>
          <w:rFonts w:ascii="Arial" w:hAnsi="Arial" w:cs="Arial"/>
          <w:sz w:val="22"/>
        </w:rPr>
        <w:t>30</w:t>
      </w:r>
      <w:r w:rsidR="00075D0D">
        <w:rPr>
          <w:rFonts w:ascii="Arial" w:hAnsi="Arial" w:cs="Arial"/>
          <w:sz w:val="22"/>
        </w:rPr>
        <w:t>.3.202</w:t>
      </w:r>
      <w:r w:rsidR="00B73999">
        <w:rPr>
          <w:rFonts w:ascii="Arial" w:hAnsi="Arial" w:cs="Arial"/>
          <w:sz w:val="22"/>
        </w:rPr>
        <w:t>6</w:t>
      </w:r>
      <w:r w:rsidR="00075D0D">
        <w:rPr>
          <w:rFonts w:ascii="Arial" w:hAnsi="Arial" w:cs="Arial"/>
          <w:sz w:val="22"/>
        </w:rPr>
        <w:t>.</w:t>
      </w:r>
      <w:r w:rsidR="00C25A50" w:rsidRPr="00B9059C">
        <w:rPr>
          <w:rFonts w:ascii="Arial" w:hAnsi="Arial" w:cs="Arial"/>
          <w:sz w:val="22"/>
        </w:rPr>
        <w:tab/>
      </w:r>
      <w:r w:rsidR="00C25A50" w:rsidRPr="00B9059C">
        <w:rPr>
          <w:rFonts w:ascii="Arial" w:hAnsi="Arial" w:cs="Arial"/>
          <w:sz w:val="22"/>
        </w:rPr>
        <w:tab/>
      </w:r>
      <w:r w:rsidR="00C25A50" w:rsidRPr="00B9059C">
        <w:rPr>
          <w:rFonts w:ascii="Arial" w:hAnsi="Arial" w:cs="Arial"/>
          <w:sz w:val="22"/>
        </w:rPr>
        <w:tab/>
      </w:r>
      <w:r w:rsidR="00C25A50" w:rsidRPr="00B9059C">
        <w:rPr>
          <w:rFonts w:ascii="Arial" w:hAnsi="Arial" w:cs="Arial"/>
          <w:sz w:val="22"/>
        </w:rPr>
        <w:tab/>
      </w:r>
      <w:r w:rsidR="00C25A50" w:rsidRPr="00B9059C">
        <w:rPr>
          <w:rFonts w:ascii="Arial" w:hAnsi="Arial" w:cs="Arial"/>
          <w:sz w:val="22"/>
        </w:rPr>
        <w:tab/>
      </w:r>
      <w:r w:rsidR="00C25A50" w:rsidRPr="00B9059C">
        <w:rPr>
          <w:rFonts w:ascii="Arial" w:hAnsi="Arial" w:cs="Arial"/>
          <w:sz w:val="22"/>
        </w:rPr>
        <w:tab/>
      </w:r>
      <w:r w:rsidR="00C25A50" w:rsidRPr="00B9059C">
        <w:rPr>
          <w:rFonts w:ascii="Arial" w:hAnsi="Arial" w:cs="Arial"/>
          <w:sz w:val="22"/>
        </w:rPr>
        <w:tab/>
      </w:r>
      <w:r w:rsidR="00C25A50" w:rsidRPr="00B9059C">
        <w:rPr>
          <w:rFonts w:ascii="Arial" w:hAnsi="Arial" w:cs="Arial"/>
          <w:sz w:val="22"/>
        </w:rPr>
        <w:tab/>
      </w:r>
      <w:r w:rsidR="00C25A50" w:rsidRPr="00B9059C">
        <w:rPr>
          <w:rFonts w:ascii="Arial" w:hAnsi="Arial" w:cs="Arial"/>
          <w:sz w:val="22"/>
        </w:rPr>
        <w:tab/>
        <w:t xml:space="preserve"> </w:t>
      </w:r>
    </w:p>
    <w:p w14:paraId="6C6C98AE" w14:textId="70E064B8" w:rsidR="002530D4" w:rsidRPr="00B9059C" w:rsidRDefault="002530D4" w:rsidP="007E1ACC">
      <w:pPr>
        <w:pStyle w:val="Bezproreda"/>
        <w:jc w:val="left"/>
        <w:rPr>
          <w:rFonts w:cs="Arial"/>
          <w:sz w:val="22"/>
        </w:rPr>
      </w:pPr>
    </w:p>
    <w:p w14:paraId="52AC6D1F" w14:textId="3BE310C2" w:rsidR="002859E5" w:rsidRDefault="002859E5" w:rsidP="002859E5">
      <w:pPr>
        <w:pStyle w:val="Bezproreda"/>
        <w:jc w:val="left"/>
        <w:rPr>
          <w:szCs w:val="24"/>
        </w:rPr>
      </w:pPr>
    </w:p>
    <w:p w14:paraId="0E264D89" w14:textId="77777777" w:rsidR="00C25A50" w:rsidRDefault="00C25A50" w:rsidP="002859E5">
      <w:pPr>
        <w:pStyle w:val="Bezproreda"/>
        <w:jc w:val="left"/>
        <w:rPr>
          <w:szCs w:val="24"/>
        </w:rPr>
      </w:pPr>
    </w:p>
    <w:p w14:paraId="39ED5109" w14:textId="77777777" w:rsidR="00C25A50" w:rsidRPr="00C25A50" w:rsidRDefault="00C25A50" w:rsidP="002859E5">
      <w:pPr>
        <w:pStyle w:val="Bezproreda"/>
        <w:jc w:val="left"/>
        <w:rPr>
          <w:sz w:val="20"/>
          <w:szCs w:val="20"/>
        </w:rPr>
      </w:pPr>
    </w:p>
    <w:p w14:paraId="4A57A608" w14:textId="5CC37F0D" w:rsidR="00051310" w:rsidRPr="00C25A50" w:rsidRDefault="00B73999" w:rsidP="00C25A50">
      <w:pPr>
        <w:pStyle w:val="Bezproreda"/>
        <w:ind w:firstLine="708"/>
        <w:rPr>
          <w:b/>
          <w:bCs/>
          <w:szCs w:val="24"/>
        </w:rPr>
      </w:pPr>
      <w:r w:rsidRPr="00B73999">
        <w:rPr>
          <w:szCs w:val="24"/>
        </w:rPr>
        <w:t xml:space="preserve">Temeljem članka 81.- 87. Zakona o proračunu („Narodne novine“ br.144/21), Članka 52. Pravilnika o polugodišnjem i godišnjem izvještaju o izvršenju proračuna i financijskog plana (Narodne novine, br. 85/2023), </w:t>
      </w:r>
      <w:r w:rsidR="00051310" w:rsidRPr="00C25A50">
        <w:rPr>
          <w:szCs w:val="24"/>
        </w:rPr>
        <w:t xml:space="preserve"> te članka 15. Statuta Interpretacijskog centra Vlaški puti Ravnateljica Interpretacijskog centra Vlaški puti dana </w:t>
      </w:r>
      <w:r w:rsidR="00475B65">
        <w:rPr>
          <w:szCs w:val="24"/>
        </w:rPr>
        <w:t>3</w:t>
      </w:r>
      <w:r w:rsidR="00397113" w:rsidRPr="00C25A50">
        <w:rPr>
          <w:szCs w:val="24"/>
        </w:rPr>
        <w:t>0</w:t>
      </w:r>
      <w:r w:rsidR="00051310" w:rsidRPr="00C25A50">
        <w:rPr>
          <w:szCs w:val="24"/>
        </w:rPr>
        <w:t xml:space="preserve">. </w:t>
      </w:r>
      <w:r w:rsidR="00397113" w:rsidRPr="00C25A50">
        <w:rPr>
          <w:szCs w:val="24"/>
        </w:rPr>
        <w:t>ožujka</w:t>
      </w:r>
      <w:r w:rsidR="00051310" w:rsidRPr="00C25A50">
        <w:rPr>
          <w:szCs w:val="24"/>
        </w:rPr>
        <w:t xml:space="preserve"> 202</w:t>
      </w:r>
      <w:r w:rsidR="00475B65">
        <w:rPr>
          <w:szCs w:val="24"/>
        </w:rPr>
        <w:t>6</w:t>
      </w:r>
      <w:r w:rsidR="00051310" w:rsidRPr="00C25A50">
        <w:rPr>
          <w:szCs w:val="24"/>
        </w:rPr>
        <w:t>. donosi:</w:t>
      </w:r>
    </w:p>
    <w:p w14:paraId="1F8959DA" w14:textId="77777777" w:rsidR="00051310" w:rsidRPr="00C25A50" w:rsidRDefault="00051310" w:rsidP="00051310">
      <w:pPr>
        <w:pStyle w:val="Bezproreda"/>
        <w:rPr>
          <w:b/>
          <w:bCs/>
          <w:szCs w:val="24"/>
        </w:rPr>
      </w:pPr>
    </w:p>
    <w:p w14:paraId="0F74692B" w14:textId="77777777" w:rsidR="00C25A50" w:rsidRDefault="00C25A50" w:rsidP="00051310">
      <w:pPr>
        <w:pStyle w:val="Bezproreda"/>
        <w:jc w:val="center"/>
        <w:rPr>
          <w:b/>
          <w:bCs/>
          <w:sz w:val="22"/>
        </w:rPr>
      </w:pPr>
    </w:p>
    <w:p w14:paraId="372E878F" w14:textId="77777777" w:rsidR="00C25A50" w:rsidRDefault="00C25A50" w:rsidP="00051310">
      <w:pPr>
        <w:pStyle w:val="Bezproreda"/>
        <w:jc w:val="center"/>
        <w:rPr>
          <w:b/>
          <w:bCs/>
          <w:sz w:val="22"/>
        </w:rPr>
      </w:pPr>
    </w:p>
    <w:p w14:paraId="73FCD9CF" w14:textId="77777777" w:rsidR="00C25A50" w:rsidRDefault="00C25A50" w:rsidP="00051310">
      <w:pPr>
        <w:pStyle w:val="Bezproreda"/>
        <w:jc w:val="center"/>
        <w:rPr>
          <w:b/>
          <w:bCs/>
          <w:sz w:val="22"/>
        </w:rPr>
      </w:pPr>
    </w:p>
    <w:p w14:paraId="276B34FA" w14:textId="77777777" w:rsidR="00C25A50" w:rsidRDefault="00C25A50" w:rsidP="00051310">
      <w:pPr>
        <w:pStyle w:val="Bezproreda"/>
        <w:jc w:val="center"/>
        <w:rPr>
          <w:b/>
          <w:bCs/>
          <w:sz w:val="22"/>
        </w:rPr>
      </w:pPr>
    </w:p>
    <w:p w14:paraId="3E20F90A" w14:textId="77777777" w:rsidR="00C25A50" w:rsidRDefault="00C25A50" w:rsidP="00C25A50">
      <w:pPr>
        <w:pStyle w:val="Bezproreda"/>
        <w:rPr>
          <w:b/>
          <w:bCs/>
          <w:sz w:val="22"/>
        </w:rPr>
      </w:pPr>
    </w:p>
    <w:p w14:paraId="770D2C15" w14:textId="77777777" w:rsidR="00C25A50" w:rsidRDefault="00C25A50" w:rsidP="00051310">
      <w:pPr>
        <w:pStyle w:val="Bezproreda"/>
        <w:jc w:val="center"/>
        <w:rPr>
          <w:b/>
          <w:bCs/>
          <w:sz w:val="22"/>
        </w:rPr>
      </w:pPr>
    </w:p>
    <w:p w14:paraId="5C86D842" w14:textId="77777777" w:rsidR="00C25A50" w:rsidRDefault="00C25A50" w:rsidP="00051310">
      <w:pPr>
        <w:pStyle w:val="Bezproreda"/>
        <w:jc w:val="center"/>
        <w:rPr>
          <w:b/>
          <w:bCs/>
          <w:sz w:val="22"/>
        </w:rPr>
      </w:pPr>
    </w:p>
    <w:p w14:paraId="3215D396" w14:textId="77777777" w:rsidR="00C25A50" w:rsidRDefault="00C25A50" w:rsidP="00051310">
      <w:pPr>
        <w:pStyle w:val="Bezproreda"/>
        <w:jc w:val="center"/>
        <w:rPr>
          <w:b/>
          <w:bCs/>
          <w:sz w:val="22"/>
        </w:rPr>
      </w:pPr>
    </w:p>
    <w:p w14:paraId="7348BB9C" w14:textId="06671BB1" w:rsidR="00051310" w:rsidRPr="00B9059C" w:rsidRDefault="00051310" w:rsidP="00051310">
      <w:pPr>
        <w:pStyle w:val="Bezproreda"/>
        <w:jc w:val="center"/>
        <w:rPr>
          <w:b/>
          <w:bCs/>
          <w:szCs w:val="24"/>
        </w:rPr>
      </w:pPr>
      <w:r w:rsidRPr="00B9059C">
        <w:rPr>
          <w:b/>
          <w:bCs/>
          <w:szCs w:val="24"/>
        </w:rPr>
        <w:t>GODIŠNJI  IZVJEŠTAJ O IZVRŠENJU FINANCIJSKOG PLANA INTERPRETACIJSKOG CENTRA VLAŠKI PUTI ZA 202</w:t>
      </w:r>
      <w:r w:rsidR="00B73999">
        <w:rPr>
          <w:b/>
          <w:bCs/>
          <w:szCs w:val="24"/>
        </w:rPr>
        <w:t>5</w:t>
      </w:r>
      <w:r w:rsidRPr="00B9059C">
        <w:rPr>
          <w:b/>
          <w:bCs/>
          <w:szCs w:val="24"/>
        </w:rPr>
        <w:t>.</w:t>
      </w:r>
      <w:r w:rsidR="00490DDC" w:rsidRPr="00B9059C">
        <w:rPr>
          <w:b/>
          <w:bCs/>
          <w:szCs w:val="24"/>
        </w:rPr>
        <w:t xml:space="preserve"> GODINU</w:t>
      </w:r>
    </w:p>
    <w:p w14:paraId="48525173" w14:textId="77777777" w:rsidR="00051310" w:rsidRDefault="00051310" w:rsidP="009C7453">
      <w:pPr>
        <w:pStyle w:val="Bezproreda"/>
        <w:jc w:val="left"/>
        <w:rPr>
          <w:b/>
          <w:bCs/>
          <w:szCs w:val="24"/>
        </w:rPr>
      </w:pPr>
    </w:p>
    <w:p w14:paraId="06C12357" w14:textId="77777777" w:rsidR="00C25A50" w:rsidRDefault="00C25A50" w:rsidP="00051310">
      <w:pPr>
        <w:pStyle w:val="Bezproreda"/>
        <w:rPr>
          <w:bCs/>
          <w:szCs w:val="24"/>
        </w:rPr>
      </w:pPr>
    </w:p>
    <w:p w14:paraId="451310E6" w14:textId="77777777" w:rsidR="00C25A50" w:rsidRDefault="00C25A50" w:rsidP="00051310">
      <w:pPr>
        <w:pStyle w:val="Bezproreda"/>
        <w:rPr>
          <w:bCs/>
          <w:szCs w:val="24"/>
        </w:rPr>
      </w:pPr>
    </w:p>
    <w:p w14:paraId="3FAF9626" w14:textId="77777777" w:rsidR="00C25A50" w:rsidRDefault="00C25A50" w:rsidP="00051310">
      <w:pPr>
        <w:pStyle w:val="Bezproreda"/>
        <w:rPr>
          <w:bCs/>
          <w:szCs w:val="24"/>
        </w:rPr>
      </w:pPr>
    </w:p>
    <w:p w14:paraId="3DE83312" w14:textId="77777777" w:rsidR="00C25A50" w:rsidRDefault="00C25A50" w:rsidP="00051310">
      <w:pPr>
        <w:pStyle w:val="Bezproreda"/>
        <w:rPr>
          <w:bCs/>
          <w:szCs w:val="24"/>
        </w:rPr>
      </w:pPr>
    </w:p>
    <w:p w14:paraId="54AB5FF8" w14:textId="77777777" w:rsidR="00C25A50" w:rsidRDefault="00C25A50" w:rsidP="00051310">
      <w:pPr>
        <w:pStyle w:val="Bezproreda"/>
        <w:rPr>
          <w:bCs/>
          <w:szCs w:val="24"/>
        </w:rPr>
      </w:pPr>
    </w:p>
    <w:p w14:paraId="4BA91789" w14:textId="77777777" w:rsidR="00C25A50" w:rsidRDefault="00C25A50" w:rsidP="00051310">
      <w:pPr>
        <w:pStyle w:val="Bezproreda"/>
        <w:rPr>
          <w:bCs/>
          <w:szCs w:val="24"/>
        </w:rPr>
      </w:pPr>
    </w:p>
    <w:p w14:paraId="6C1169F0" w14:textId="77777777" w:rsidR="004057CA" w:rsidRDefault="004057CA" w:rsidP="00051310">
      <w:pPr>
        <w:pStyle w:val="Bezproreda"/>
        <w:rPr>
          <w:bCs/>
          <w:szCs w:val="24"/>
        </w:rPr>
      </w:pPr>
    </w:p>
    <w:p w14:paraId="46FD30E9" w14:textId="77777777" w:rsidR="004057CA" w:rsidRDefault="004057CA" w:rsidP="00051310">
      <w:pPr>
        <w:pStyle w:val="Bezproreda"/>
        <w:rPr>
          <w:bCs/>
          <w:szCs w:val="24"/>
        </w:rPr>
      </w:pPr>
    </w:p>
    <w:p w14:paraId="0A2E5D58" w14:textId="77777777" w:rsidR="004057CA" w:rsidRDefault="004057CA" w:rsidP="00051310">
      <w:pPr>
        <w:pStyle w:val="Bezproreda"/>
        <w:rPr>
          <w:bCs/>
          <w:szCs w:val="24"/>
        </w:rPr>
      </w:pPr>
    </w:p>
    <w:p w14:paraId="69EDC490" w14:textId="77777777" w:rsidR="004057CA" w:rsidRDefault="004057CA" w:rsidP="00051310">
      <w:pPr>
        <w:pStyle w:val="Bezproreda"/>
        <w:rPr>
          <w:bCs/>
          <w:szCs w:val="24"/>
        </w:rPr>
      </w:pPr>
    </w:p>
    <w:p w14:paraId="07F499AF" w14:textId="77777777" w:rsidR="004057CA" w:rsidRDefault="004057CA" w:rsidP="00051310">
      <w:pPr>
        <w:pStyle w:val="Bezproreda"/>
        <w:rPr>
          <w:bCs/>
          <w:szCs w:val="24"/>
        </w:rPr>
      </w:pPr>
    </w:p>
    <w:p w14:paraId="3A340077" w14:textId="77777777" w:rsidR="004057CA" w:rsidRDefault="004057CA" w:rsidP="00051310">
      <w:pPr>
        <w:pStyle w:val="Bezproreda"/>
        <w:rPr>
          <w:bCs/>
          <w:szCs w:val="24"/>
        </w:rPr>
      </w:pPr>
    </w:p>
    <w:p w14:paraId="1853EA9D" w14:textId="77777777" w:rsidR="004057CA" w:rsidRDefault="004057CA" w:rsidP="00051310">
      <w:pPr>
        <w:pStyle w:val="Bezproreda"/>
        <w:rPr>
          <w:bCs/>
          <w:szCs w:val="24"/>
        </w:rPr>
      </w:pPr>
    </w:p>
    <w:p w14:paraId="7C1FB889" w14:textId="77777777" w:rsidR="004057CA" w:rsidRDefault="004057CA" w:rsidP="00051310">
      <w:pPr>
        <w:pStyle w:val="Bezproreda"/>
        <w:rPr>
          <w:bCs/>
          <w:szCs w:val="24"/>
        </w:rPr>
      </w:pPr>
    </w:p>
    <w:p w14:paraId="14BA0CC8" w14:textId="77777777" w:rsidR="004057CA" w:rsidRDefault="004057CA" w:rsidP="00051310">
      <w:pPr>
        <w:pStyle w:val="Bezproreda"/>
        <w:rPr>
          <w:bCs/>
          <w:szCs w:val="24"/>
        </w:rPr>
      </w:pPr>
    </w:p>
    <w:p w14:paraId="64462F4E" w14:textId="77777777" w:rsidR="004057CA" w:rsidRDefault="004057CA" w:rsidP="00051310">
      <w:pPr>
        <w:pStyle w:val="Bezproreda"/>
        <w:rPr>
          <w:bCs/>
          <w:szCs w:val="24"/>
        </w:rPr>
      </w:pPr>
    </w:p>
    <w:p w14:paraId="387D8886" w14:textId="77777777" w:rsidR="004057CA" w:rsidRDefault="004057CA" w:rsidP="00051310">
      <w:pPr>
        <w:pStyle w:val="Bezproreda"/>
        <w:rPr>
          <w:bCs/>
          <w:szCs w:val="24"/>
        </w:rPr>
      </w:pPr>
    </w:p>
    <w:p w14:paraId="57B3D163" w14:textId="77777777" w:rsidR="004057CA" w:rsidRDefault="004057CA" w:rsidP="00051310">
      <w:pPr>
        <w:pStyle w:val="Bezproreda"/>
        <w:rPr>
          <w:bCs/>
          <w:szCs w:val="24"/>
        </w:rPr>
      </w:pPr>
    </w:p>
    <w:p w14:paraId="1D45D5C9" w14:textId="77777777" w:rsidR="004057CA" w:rsidRDefault="004057CA" w:rsidP="00051310">
      <w:pPr>
        <w:pStyle w:val="Bezproreda"/>
        <w:rPr>
          <w:bCs/>
          <w:szCs w:val="24"/>
        </w:rPr>
      </w:pPr>
    </w:p>
    <w:p w14:paraId="52E10D67" w14:textId="77777777" w:rsidR="00C25A50" w:rsidRDefault="00C25A50" w:rsidP="00051310">
      <w:pPr>
        <w:pStyle w:val="Bezproreda"/>
        <w:rPr>
          <w:bCs/>
          <w:szCs w:val="24"/>
        </w:rPr>
      </w:pPr>
    </w:p>
    <w:p w14:paraId="1303D536" w14:textId="77777777" w:rsidR="00C25A50" w:rsidRDefault="00C25A50" w:rsidP="00051310">
      <w:pPr>
        <w:pStyle w:val="Bezproreda"/>
        <w:rPr>
          <w:bCs/>
          <w:szCs w:val="24"/>
        </w:rPr>
      </w:pPr>
    </w:p>
    <w:p w14:paraId="38815E2C" w14:textId="77777777" w:rsidR="00C25A50" w:rsidRPr="00C25A50" w:rsidRDefault="00C25A50" w:rsidP="00051310">
      <w:pPr>
        <w:pStyle w:val="Bezproreda"/>
        <w:rPr>
          <w:bCs/>
          <w:sz w:val="22"/>
        </w:rPr>
      </w:pPr>
    </w:p>
    <w:p w14:paraId="2E696BA0" w14:textId="77777777" w:rsidR="004057CA" w:rsidRPr="00B73999" w:rsidRDefault="004057CA" w:rsidP="00B73999">
      <w:pPr>
        <w:jc w:val="both"/>
        <w:rPr>
          <w:rFonts w:ascii="Arial" w:hAnsi="Arial" w:cs="Arial"/>
          <w:b/>
          <w:bCs/>
          <w:sz w:val="22"/>
        </w:rPr>
      </w:pPr>
    </w:p>
    <w:p w14:paraId="0458B111" w14:textId="77777777" w:rsidR="004057CA" w:rsidRDefault="004057CA" w:rsidP="00C25A50">
      <w:pPr>
        <w:pStyle w:val="Odlomakpopisa"/>
        <w:jc w:val="both"/>
        <w:rPr>
          <w:rFonts w:ascii="Arial" w:hAnsi="Arial" w:cs="Arial"/>
          <w:b/>
          <w:bCs/>
          <w:sz w:val="22"/>
        </w:rPr>
      </w:pPr>
    </w:p>
    <w:p w14:paraId="61D9F266" w14:textId="1D529632" w:rsidR="00C25A50" w:rsidRPr="00C25A50" w:rsidRDefault="00C25A50" w:rsidP="00C25A50">
      <w:pPr>
        <w:pStyle w:val="Odlomakpopisa"/>
        <w:jc w:val="both"/>
        <w:rPr>
          <w:rFonts w:ascii="Arial" w:hAnsi="Arial" w:cs="Arial"/>
          <w:b/>
          <w:bCs/>
          <w:sz w:val="22"/>
        </w:rPr>
      </w:pPr>
      <w:r w:rsidRPr="00C25A50">
        <w:rPr>
          <w:rFonts w:ascii="Arial" w:hAnsi="Arial" w:cs="Arial"/>
          <w:b/>
          <w:bCs/>
          <w:sz w:val="22"/>
        </w:rPr>
        <w:t>SADRŽAJ I OBUHVAT ISKAZIVANJA PODATAKA</w:t>
      </w:r>
    </w:p>
    <w:p w14:paraId="01352DF1" w14:textId="77777777" w:rsidR="00C25A50" w:rsidRPr="00C25A50" w:rsidRDefault="00C25A50" w:rsidP="00C25A50">
      <w:pPr>
        <w:pStyle w:val="Odlomakpopisa"/>
        <w:jc w:val="both"/>
        <w:rPr>
          <w:rFonts w:ascii="Arial" w:hAnsi="Arial" w:cs="Arial"/>
          <w:b/>
          <w:bCs/>
          <w:sz w:val="22"/>
        </w:rPr>
      </w:pPr>
    </w:p>
    <w:p w14:paraId="703025D4" w14:textId="4FE4BD5B" w:rsidR="00C25A50" w:rsidRPr="00C25A50" w:rsidRDefault="00C25A50" w:rsidP="00C25A50">
      <w:pPr>
        <w:pStyle w:val="Odlomakpopisa"/>
        <w:jc w:val="both"/>
        <w:rPr>
          <w:rFonts w:ascii="Arial" w:hAnsi="Arial" w:cs="Arial"/>
          <w:sz w:val="22"/>
        </w:rPr>
      </w:pPr>
      <w:r w:rsidRPr="00C25A50">
        <w:rPr>
          <w:rFonts w:ascii="Arial" w:hAnsi="Arial" w:cs="Arial"/>
          <w:sz w:val="22"/>
        </w:rPr>
        <w:t>Sastavni dio godišnjeg izvještaja o izvršenju Financijskog plana Interpretacijskog centra Vlaški puti za razdoblje 1.1.202</w:t>
      </w:r>
      <w:r w:rsidR="00B73999">
        <w:rPr>
          <w:rFonts w:ascii="Arial" w:hAnsi="Arial" w:cs="Arial"/>
          <w:sz w:val="22"/>
        </w:rPr>
        <w:t>5</w:t>
      </w:r>
      <w:r w:rsidRPr="00C25A50">
        <w:rPr>
          <w:rFonts w:ascii="Arial" w:hAnsi="Arial" w:cs="Arial"/>
          <w:sz w:val="22"/>
        </w:rPr>
        <w:t>. – 31.12.202</w:t>
      </w:r>
      <w:r w:rsidR="00B73999">
        <w:rPr>
          <w:rFonts w:ascii="Arial" w:hAnsi="Arial" w:cs="Arial"/>
          <w:sz w:val="22"/>
        </w:rPr>
        <w:t>5</w:t>
      </w:r>
      <w:r w:rsidRPr="00C25A50">
        <w:rPr>
          <w:rFonts w:ascii="Arial" w:hAnsi="Arial" w:cs="Arial"/>
          <w:sz w:val="22"/>
        </w:rPr>
        <w:t>. čine:</w:t>
      </w:r>
    </w:p>
    <w:p w14:paraId="3C71C6B8" w14:textId="24D6A077" w:rsidR="00B73999" w:rsidRPr="00B73999" w:rsidRDefault="00B73999" w:rsidP="00B73999">
      <w:pPr>
        <w:numPr>
          <w:ilvl w:val="0"/>
          <w:numId w:val="21"/>
        </w:numPr>
        <w:spacing w:line="259" w:lineRule="auto"/>
        <w:jc w:val="both"/>
        <w:rPr>
          <w:rFonts w:ascii="Arial" w:hAnsi="Arial" w:cs="Arial"/>
          <w:sz w:val="22"/>
        </w:rPr>
      </w:pPr>
      <w:r w:rsidRPr="00B73999">
        <w:rPr>
          <w:rFonts w:ascii="Arial" w:hAnsi="Arial" w:cs="Arial"/>
          <w:b/>
          <w:bCs/>
          <w:sz w:val="22"/>
        </w:rPr>
        <w:t>Opći dio godišnjeg izvještaja o izvršenju financijskog plana</w:t>
      </w:r>
      <w:r w:rsidRPr="00B73999">
        <w:rPr>
          <w:rFonts w:ascii="Arial" w:hAnsi="Arial" w:cs="Arial"/>
          <w:sz w:val="22"/>
        </w:rPr>
        <w:t xml:space="preserve"> </w:t>
      </w:r>
    </w:p>
    <w:p w14:paraId="47048024" w14:textId="77777777" w:rsidR="00B73999" w:rsidRPr="00B73999" w:rsidRDefault="00B73999" w:rsidP="00B73999">
      <w:pPr>
        <w:numPr>
          <w:ilvl w:val="1"/>
          <w:numId w:val="21"/>
        </w:numPr>
        <w:spacing w:line="259" w:lineRule="auto"/>
        <w:jc w:val="both"/>
        <w:rPr>
          <w:rFonts w:ascii="Arial" w:hAnsi="Arial" w:cs="Arial"/>
          <w:sz w:val="22"/>
        </w:rPr>
      </w:pPr>
      <w:r w:rsidRPr="00B73999">
        <w:rPr>
          <w:rFonts w:ascii="Arial" w:hAnsi="Arial" w:cs="Arial"/>
          <w:sz w:val="22"/>
        </w:rPr>
        <w:t>Sažetak računa prihoda i rashoda i računa financiranja</w:t>
      </w:r>
    </w:p>
    <w:p w14:paraId="12B4C0A5" w14:textId="77777777" w:rsidR="00B73999" w:rsidRPr="00B73999" w:rsidRDefault="00B73999" w:rsidP="00B73999">
      <w:pPr>
        <w:numPr>
          <w:ilvl w:val="1"/>
          <w:numId w:val="21"/>
        </w:numPr>
        <w:spacing w:line="259" w:lineRule="auto"/>
        <w:jc w:val="both"/>
        <w:rPr>
          <w:rFonts w:ascii="Arial" w:hAnsi="Arial" w:cs="Arial"/>
          <w:sz w:val="22"/>
        </w:rPr>
      </w:pPr>
      <w:r w:rsidRPr="00B73999">
        <w:rPr>
          <w:rFonts w:ascii="Arial" w:hAnsi="Arial" w:cs="Arial"/>
          <w:sz w:val="22"/>
        </w:rPr>
        <w:t>Račun prihoda i rashoda</w:t>
      </w:r>
    </w:p>
    <w:p w14:paraId="3B4F2C12" w14:textId="77777777" w:rsidR="00B73999" w:rsidRPr="00B73999" w:rsidRDefault="00B73999" w:rsidP="00B73999">
      <w:pPr>
        <w:numPr>
          <w:ilvl w:val="2"/>
          <w:numId w:val="21"/>
        </w:numPr>
        <w:spacing w:line="259" w:lineRule="auto"/>
        <w:jc w:val="both"/>
        <w:rPr>
          <w:rFonts w:ascii="Arial" w:hAnsi="Arial" w:cs="Arial"/>
          <w:sz w:val="22"/>
        </w:rPr>
      </w:pPr>
      <w:r w:rsidRPr="00B73999">
        <w:rPr>
          <w:rFonts w:ascii="Arial" w:hAnsi="Arial" w:cs="Arial"/>
          <w:sz w:val="22"/>
        </w:rPr>
        <w:t>Izvještaj o prihodima i rashodima prema ekonomskoj klasifikaciji</w:t>
      </w:r>
    </w:p>
    <w:p w14:paraId="675A75DE" w14:textId="77777777" w:rsidR="00B73999" w:rsidRPr="00B73999" w:rsidRDefault="00B73999" w:rsidP="00B73999">
      <w:pPr>
        <w:numPr>
          <w:ilvl w:val="2"/>
          <w:numId w:val="21"/>
        </w:numPr>
        <w:spacing w:line="259" w:lineRule="auto"/>
        <w:jc w:val="both"/>
        <w:rPr>
          <w:rFonts w:ascii="Arial" w:hAnsi="Arial" w:cs="Arial"/>
          <w:sz w:val="22"/>
        </w:rPr>
      </w:pPr>
      <w:r w:rsidRPr="00B73999">
        <w:rPr>
          <w:rFonts w:ascii="Arial" w:hAnsi="Arial" w:cs="Arial"/>
          <w:sz w:val="22"/>
        </w:rPr>
        <w:t>Izvještaj o prihodima i rashodima prema izvorima financiranja</w:t>
      </w:r>
    </w:p>
    <w:p w14:paraId="1468C2DB" w14:textId="77777777" w:rsidR="00B73999" w:rsidRPr="00B73999" w:rsidRDefault="00B73999" w:rsidP="00B73999">
      <w:pPr>
        <w:numPr>
          <w:ilvl w:val="2"/>
          <w:numId w:val="21"/>
        </w:numPr>
        <w:spacing w:line="259" w:lineRule="auto"/>
        <w:jc w:val="both"/>
        <w:rPr>
          <w:rFonts w:ascii="Arial" w:hAnsi="Arial" w:cs="Arial"/>
          <w:sz w:val="22"/>
        </w:rPr>
      </w:pPr>
      <w:r w:rsidRPr="00B73999">
        <w:rPr>
          <w:rFonts w:ascii="Arial" w:hAnsi="Arial" w:cs="Arial"/>
          <w:sz w:val="22"/>
        </w:rPr>
        <w:t>Izvještaj o rashodima prema funkcijskoj klasifikaciji</w:t>
      </w:r>
    </w:p>
    <w:p w14:paraId="1208130B" w14:textId="77777777" w:rsidR="00B73999" w:rsidRPr="00B73999" w:rsidRDefault="00B73999" w:rsidP="00B73999">
      <w:pPr>
        <w:numPr>
          <w:ilvl w:val="1"/>
          <w:numId w:val="21"/>
        </w:numPr>
        <w:spacing w:line="259" w:lineRule="auto"/>
        <w:jc w:val="both"/>
        <w:rPr>
          <w:rFonts w:ascii="Arial" w:hAnsi="Arial" w:cs="Arial"/>
          <w:sz w:val="22"/>
        </w:rPr>
      </w:pPr>
      <w:r w:rsidRPr="00B73999">
        <w:rPr>
          <w:rFonts w:ascii="Arial" w:hAnsi="Arial" w:cs="Arial"/>
          <w:sz w:val="22"/>
        </w:rPr>
        <w:t>Račun financiranja</w:t>
      </w:r>
    </w:p>
    <w:p w14:paraId="5ACF4B69" w14:textId="77777777" w:rsidR="00B73999" w:rsidRPr="00B73999" w:rsidRDefault="00B73999" w:rsidP="00B73999">
      <w:pPr>
        <w:numPr>
          <w:ilvl w:val="2"/>
          <w:numId w:val="21"/>
        </w:numPr>
        <w:spacing w:line="259" w:lineRule="auto"/>
        <w:jc w:val="both"/>
        <w:rPr>
          <w:rFonts w:ascii="Arial" w:hAnsi="Arial" w:cs="Arial"/>
          <w:sz w:val="22"/>
        </w:rPr>
      </w:pPr>
      <w:r w:rsidRPr="00B73999">
        <w:rPr>
          <w:rFonts w:ascii="Arial" w:hAnsi="Arial" w:cs="Arial"/>
          <w:sz w:val="22"/>
        </w:rPr>
        <w:t>Izvještaj računa financiranja prema ekonomskoj klasifikaciji</w:t>
      </w:r>
    </w:p>
    <w:p w14:paraId="5D8CE0BF" w14:textId="77777777" w:rsidR="00B73999" w:rsidRPr="00B73999" w:rsidRDefault="00B73999" w:rsidP="00B73999">
      <w:pPr>
        <w:numPr>
          <w:ilvl w:val="2"/>
          <w:numId w:val="21"/>
        </w:numPr>
        <w:spacing w:line="259" w:lineRule="auto"/>
        <w:jc w:val="both"/>
        <w:rPr>
          <w:rFonts w:ascii="Arial" w:hAnsi="Arial" w:cs="Arial"/>
          <w:sz w:val="22"/>
        </w:rPr>
      </w:pPr>
      <w:r w:rsidRPr="00B73999">
        <w:rPr>
          <w:rFonts w:ascii="Arial" w:hAnsi="Arial" w:cs="Arial"/>
          <w:sz w:val="22"/>
        </w:rPr>
        <w:t>Izvještaj računa financiranja prema izvorima financiranja</w:t>
      </w:r>
    </w:p>
    <w:p w14:paraId="0096E4EB" w14:textId="77777777" w:rsidR="00B73999" w:rsidRPr="00B73999" w:rsidRDefault="00B73999" w:rsidP="00B73999">
      <w:pPr>
        <w:spacing w:line="259" w:lineRule="auto"/>
        <w:jc w:val="both"/>
        <w:rPr>
          <w:rFonts w:ascii="Arial" w:hAnsi="Arial" w:cs="Arial"/>
          <w:sz w:val="22"/>
        </w:rPr>
      </w:pPr>
    </w:p>
    <w:p w14:paraId="11D3745C" w14:textId="010BBEA9" w:rsidR="00B73999" w:rsidRPr="00B73999" w:rsidRDefault="00B73999" w:rsidP="00B73999">
      <w:pPr>
        <w:numPr>
          <w:ilvl w:val="0"/>
          <w:numId w:val="21"/>
        </w:numPr>
        <w:spacing w:line="259" w:lineRule="auto"/>
        <w:jc w:val="both"/>
        <w:rPr>
          <w:rFonts w:ascii="Arial" w:hAnsi="Arial" w:cs="Arial"/>
          <w:sz w:val="22"/>
        </w:rPr>
      </w:pPr>
      <w:r w:rsidRPr="00B73999">
        <w:rPr>
          <w:rFonts w:ascii="Arial" w:hAnsi="Arial" w:cs="Arial"/>
          <w:b/>
          <w:bCs/>
          <w:sz w:val="22"/>
        </w:rPr>
        <w:t>Posebni dio godišnjeg izvještaja o izvršenju financijskog plana</w:t>
      </w:r>
    </w:p>
    <w:p w14:paraId="0CDD06D4" w14:textId="65281DD2" w:rsidR="00B73999" w:rsidRDefault="00B73999" w:rsidP="00B73999">
      <w:pPr>
        <w:numPr>
          <w:ilvl w:val="1"/>
          <w:numId w:val="21"/>
        </w:numPr>
        <w:spacing w:line="259" w:lineRule="auto"/>
        <w:jc w:val="both"/>
        <w:rPr>
          <w:rFonts w:ascii="Arial" w:hAnsi="Arial" w:cs="Arial"/>
          <w:sz w:val="22"/>
        </w:rPr>
      </w:pPr>
      <w:r w:rsidRPr="00B73999">
        <w:rPr>
          <w:rFonts w:ascii="Arial" w:hAnsi="Arial" w:cs="Arial"/>
          <w:sz w:val="22"/>
        </w:rPr>
        <w:t>Godišnji izvještaj o izvršenju financijskog plana po programskoj klasifikaciji</w:t>
      </w:r>
    </w:p>
    <w:p w14:paraId="4012A268" w14:textId="77777777" w:rsidR="00B73999" w:rsidRPr="00B73999" w:rsidRDefault="00B73999" w:rsidP="00B73999">
      <w:pPr>
        <w:spacing w:line="259" w:lineRule="auto"/>
        <w:ind w:left="1080"/>
        <w:jc w:val="both"/>
        <w:rPr>
          <w:rFonts w:ascii="Arial" w:hAnsi="Arial" w:cs="Arial"/>
          <w:sz w:val="22"/>
        </w:rPr>
      </w:pPr>
    </w:p>
    <w:p w14:paraId="165BB661" w14:textId="77777777" w:rsidR="00B73999" w:rsidRPr="00B73999" w:rsidRDefault="00B73999" w:rsidP="00B73999">
      <w:pPr>
        <w:numPr>
          <w:ilvl w:val="0"/>
          <w:numId w:val="21"/>
        </w:numPr>
        <w:spacing w:line="259" w:lineRule="auto"/>
        <w:jc w:val="both"/>
        <w:rPr>
          <w:rFonts w:ascii="Arial" w:hAnsi="Arial" w:cs="Arial"/>
          <w:sz w:val="22"/>
        </w:rPr>
      </w:pPr>
      <w:bookmarkStart w:id="2" w:name="_Hlk112051291"/>
      <w:r w:rsidRPr="00B73999">
        <w:rPr>
          <w:rFonts w:ascii="Arial" w:hAnsi="Arial" w:cs="Arial"/>
          <w:b/>
          <w:bCs/>
          <w:sz w:val="22"/>
        </w:rPr>
        <w:t>Obrazloženja godišnjeg izvještaja o izvršenju financijskog plana</w:t>
      </w:r>
      <w:r w:rsidRPr="00B73999">
        <w:rPr>
          <w:rFonts w:ascii="Arial" w:hAnsi="Arial" w:cs="Arial"/>
          <w:sz w:val="22"/>
        </w:rPr>
        <w:t xml:space="preserve"> </w:t>
      </w:r>
      <w:bookmarkEnd w:id="2"/>
    </w:p>
    <w:p w14:paraId="57706607" w14:textId="77777777" w:rsidR="00B73999" w:rsidRPr="00B73999" w:rsidRDefault="00B73999" w:rsidP="00B73999">
      <w:pPr>
        <w:numPr>
          <w:ilvl w:val="1"/>
          <w:numId w:val="21"/>
        </w:numPr>
        <w:spacing w:line="259" w:lineRule="auto"/>
        <w:jc w:val="both"/>
        <w:rPr>
          <w:rFonts w:ascii="Arial" w:hAnsi="Arial" w:cs="Arial"/>
          <w:sz w:val="22"/>
        </w:rPr>
      </w:pPr>
      <w:r w:rsidRPr="00B73999">
        <w:rPr>
          <w:rFonts w:ascii="Arial" w:hAnsi="Arial" w:cs="Arial"/>
          <w:sz w:val="22"/>
        </w:rPr>
        <w:t>Obrazloženje općeg dijela financijskog plana</w:t>
      </w:r>
    </w:p>
    <w:p w14:paraId="0E06FCA1" w14:textId="77777777" w:rsidR="00B73999" w:rsidRPr="00B73999" w:rsidRDefault="00B73999" w:rsidP="00B73999">
      <w:pPr>
        <w:numPr>
          <w:ilvl w:val="1"/>
          <w:numId w:val="21"/>
        </w:numPr>
        <w:spacing w:line="259" w:lineRule="auto"/>
        <w:jc w:val="both"/>
        <w:rPr>
          <w:rFonts w:ascii="Arial" w:hAnsi="Arial" w:cs="Arial"/>
          <w:sz w:val="22"/>
        </w:rPr>
      </w:pPr>
      <w:r w:rsidRPr="00B73999">
        <w:rPr>
          <w:rFonts w:ascii="Arial" w:hAnsi="Arial" w:cs="Arial"/>
          <w:sz w:val="22"/>
        </w:rPr>
        <w:t>Obrazloženje posebnog dijela financijskog plana</w:t>
      </w:r>
    </w:p>
    <w:p w14:paraId="3D16570C" w14:textId="77777777" w:rsidR="00B73999" w:rsidRPr="00B73999" w:rsidRDefault="00B73999" w:rsidP="00B73999">
      <w:pPr>
        <w:spacing w:line="259" w:lineRule="auto"/>
        <w:jc w:val="both"/>
        <w:rPr>
          <w:rFonts w:ascii="Arial" w:hAnsi="Arial" w:cs="Arial"/>
          <w:sz w:val="22"/>
        </w:rPr>
      </w:pPr>
    </w:p>
    <w:p w14:paraId="1D1647CB" w14:textId="77777777" w:rsidR="00B73999" w:rsidRPr="00B73999" w:rsidRDefault="00B73999" w:rsidP="00B73999">
      <w:pPr>
        <w:numPr>
          <w:ilvl w:val="0"/>
          <w:numId w:val="21"/>
        </w:numPr>
        <w:spacing w:line="259" w:lineRule="auto"/>
        <w:jc w:val="both"/>
        <w:rPr>
          <w:rFonts w:ascii="Arial" w:hAnsi="Arial" w:cs="Arial"/>
          <w:sz w:val="22"/>
        </w:rPr>
      </w:pPr>
      <w:r w:rsidRPr="00B73999">
        <w:rPr>
          <w:rFonts w:ascii="Arial" w:hAnsi="Arial" w:cs="Arial"/>
          <w:b/>
          <w:bCs/>
          <w:sz w:val="22"/>
        </w:rPr>
        <w:t>Posebni izvještaji godišnjeg izvještaja o izvršenju financijskog plana</w:t>
      </w:r>
      <w:r w:rsidRPr="00B73999">
        <w:rPr>
          <w:rFonts w:ascii="Arial" w:hAnsi="Arial" w:cs="Arial"/>
          <w:sz w:val="22"/>
        </w:rPr>
        <w:t xml:space="preserve"> koji se sastoji od:</w:t>
      </w:r>
    </w:p>
    <w:p w14:paraId="7ACD07D1" w14:textId="77777777" w:rsidR="00B73999" w:rsidRPr="00B73999" w:rsidRDefault="00B73999" w:rsidP="00B73999">
      <w:pPr>
        <w:numPr>
          <w:ilvl w:val="1"/>
          <w:numId w:val="21"/>
        </w:numPr>
        <w:spacing w:line="259" w:lineRule="auto"/>
        <w:jc w:val="both"/>
        <w:rPr>
          <w:rFonts w:ascii="Arial" w:hAnsi="Arial" w:cs="Arial"/>
          <w:sz w:val="22"/>
        </w:rPr>
      </w:pPr>
      <w:r w:rsidRPr="00B73999">
        <w:rPr>
          <w:rFonts w:ascii="Arial" w:hAnsi="Arial" w:cs="Arial"/>
          <w:sz w:val="22"/>
        </w:rPr>
        <w:t>Izvještaj o zaduživanju na domaćem i stranom tržištu novca i kapitala</w:t>
      </w:r>
    </w:p>
    <w:p w14:paraId="26B1CB4C" w14:textId="77777777" w:rsidR="00B73999" w:rsidRPr="00B73999" w:rsidRDefault="00B73999" w:rsidP="00B73999">
      <w:pPr>
        <w:numPr>
          <w:ilvl w:val="1"/>
          <w:numId w:val="21"/>
        </w:numPr>
        <w:spacing w:line="259" w:lineRule="auto"/>
        <w:jc w:val="both"/>
        <w:rPr>
          <w:rFonts w:ascii="Arial" w:hAnsi="Arial" w:cs="Arial"/>
          <w:sz w:val="22"/>
        </w:rPr>
      </w:pPr>
      <w:r w:rsidRPr="00B73999">
        <w:rPr>
          <w:rFonts w:ascii="Arial" w:hAnsi="Arial" w:cs="Arial"/>
          <w:sz w:val="22"/>
        </w:rPr>
        <w:t xml:space="preserve">Izvještaj o korištenju sredstava fondova Europske unije </w:t>
      </w:r>
    </w:p>
    <w:p w14:paraId="0DD0EB85" w14:textId="77777777" w:rsidR="00B73999" w:rsidRPr="00B73999" w:rsidRDefault="00B73999" w:rsidP="00B73999">
      <w:pPr>
        <w:numPr>
          <w:ilvl w:val="1"/>
          <w:numId w:val="21"/>
        </w:numPr>
        <w:spacing w:line="259" w:lineRule="auto"/>
        <w:jc w:val="both"/>
        <w:rPr>
          <w:rFonts w:ascii="Arial" w:hAnsi="Arial" w:cs="Arial"/>
          <w:sz w:val="22"/>
        </w:rPr>
      </w:pPr>
      <w:r w:rsidRPr="00B73999">
        <w:rPr>
          <w:rFonts w:ascii="Arial" w:hAnsi="Arial" w:cs="Arial"/>
          <w:sz w:val="22"/>
        </w:rPr>
        <w:t>Izvještaj o danim zajmovima i potraživanjima po danim zajmovima</w:t>
      </w:r>
    </w:p>
    <w:p w14:paraId="22E7F6AE" w14:textId="77777777" w:rsidR="00B73999" w:rsidRPr="00B73999" w:rsidRDefault="00B73999" w:rsidP="00B73999">
      <w:pPr>
        <w:numPr>
          <w:ilvl w:val="1"/>
          <w:numId w:val="21"/>
        </w:numPr>
        <w:spacing w:line="259" w:lineRule="auto"/>
        <w:jc w:val="both"/>
        <w:rPr>
          <w:rFonts w:ascii="Arial" w:hAnsi="Arial" w:cs="Arial"/>
          <w:sz w:val="22"/>
        </w:rPr>
      </w:pPr>
      <w:r w:rsidRPr="00B73999">
        <w:rPr>
          <w:rFonts w:ascii="Arial" w:hAnsi="Arial" w:cs="Arial"/>
          <w:sz w:val="22"/>
        </w:rPr>
        <w:t>Izvještaj o stanju potraživanja i dospjelih obveza te o stanju potencijalnih obveza po osnovi sudskih sporova</w:t>
      </w:r>
    </w:p>
    <w:p w14:paraId="37EF2EE1" w14:textId="77777777" w:rsidR="00B73999" w:rsidRPr="00B73999" w:rsidRDefault="00B73999" w:rsidP="00B73999">
      <w:pPr>
        <w:numPr>
          <w:ilvl w:val="1"/>
          <w:numId w:val="21"/>
        </w:numPr>
        <w:spacing w:line="259" w:lineRule="auto"/>
        <w:jc w:val="both"/>
        <w:rPr>
          <w:rFonts w:ascii="Arial" w:hAnsi="Arial" w:cs="Arial"/>
          <w:sz w:val="22"/>
        </w:rPr>
      </w:pPr>
      <w:r w:rsidRPr="00B73999">
        <w:rPr>
          <w:rFonts w:ascii="Arial" w:hAnsi="Arial" w:cs="Arial"/>
          <w:sz w:val="22"/>
        </w:rPr>
        <w:t>Izvještaj o danim jamstvima i plaćanjima po protestiranim jamstvima</w:t>
      </w:r>
    </w:p>
    <w:p w14:paraId="6DE63405" w14:textId="77777777" w:rsidR="00B73999" w:rsidRPr="00B73999" w:rsidRDefault="00B73999" w:rsidP="00B73999">
      <w:pPr>
        <w:spacing w:line="259" w:lineRule="auto"/>
        <w:jc w:val="both"/>
        <w:rPr>
          <w:rFonts w:ascii="Arial" w:hAnsi="Arial" w:cs="Arial"/>
          <w:sz w:val="22"/>
        </w:rPr>
      </w:pPr>
    </w:p>
    <w:p w14:paraId="33668C31" w14:textId="77777777" w:rsidR="00B73999" w:rsidRPr="00B73999" w:rsidRDefault="00B73999" w:rsidP="00B73999">
      <w:pPr>
        <w:spacing w:line="259" w:lineRule="auto"/>
        <w:jc w:val="both"/>
        <w:rPr>
          <w:rFonts w:ascii="Arial" w:hAnsi="Arial" w:cs="Arial"/>
          <w:sz w:val="22"/>
        </w:rPr>
      </w:pPr>
    </w:p>
    <w:p w14:paraId="1357A39C" w14:textId="0DCC81C6" w:rsidR="004057CA" w:rsidRPr="009169D6" w:rsidRDefault="00B73999" w:rsidP="004057CA">
      <w:pPr>
        <w:numPr>
          <w:ilvl w:val="0"/>
          <w:numId w:val="21"/>
        </w:numPr>
        <w:spacing w:line="259" w:lineRule="auto"/>
        <w:jc w:val="both"/>
        <w:rPr>
          <w:rFonts w:ascii="Arial" w:hAnsi="Arial" w:cs="Arial"/>
          <w:b/>
          <w:bCs/>
          <w:sz w:val="22"/>
        </w:rPr>
      </w:pPr>
      <w:r w:rsidRPr="00B73999">
        <w:rPr>
          <w:rFonts w:ascii="Arial" w:hAnsi="Arial" w:cs="Arial"/>
          <w:b/>
          <w:bCs/>
          <w:sz w:val="22"/>
        </w:rPr>
        <w:t>Završne odredbe</w:t>
      </w:r>
    </w:p>
    <w:p w14:paraId="53DE305F" w14:textId="77777777" w:rsidR="004057CA" w:rsidRDefault="004057CA" w:rsidP="004057CA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</w:p>
    <w:p w14:paraId="2BCE3FBB" w14:textId="77777777" w:rsidR="004057CA" w:rsidRPr="004057CA" w:rsidRDefault="004057CA" w:rsidP="004057CA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</w:p>
    <w:p w14:paraId="2C709494" w14:textId="12F4DAD4" w:rsidR="00C25A50" w:rsidRDefault="00C25A50" w:rsidP="007A6E17">
      <w:pPr>
        <w:pStyle w:val="Odlomakpopisa"/>
        <w:numPr>
          <w:ilvl w:val="0"/>
          <w:numId w:val="12"/>
        </w:numPr>
        <w:spacing w:line="259" w:lineRule="auto"/>
        <w:jc w:val="both"/>
        <w:rPr>
          <w:rFonts w:ascii="Arial" w:hAnsi="Arial" w:cs="Arial"/>
          <w:b/>
          <w:bCs/>
          <w:szCs w:val="24"/>
        </w:rPr>
      </w:pPr>
      <w:r w:rsidRPr="007A6E17">
        <w:rPr>
          <w:rFonts w:ascii="Arial" w:hAnsi="Arial" w:cs="Arial"/>
          <w:b/>
          <w:bCs/>
          <w:szCs w:val="24"/>
        </w:rPr>
        <w:lastRenderedPageBreak/>
        <w:t>OPĆI DIO GODIŠNJEG IZVJEŠTAJA O IZVRŠENJU FINANCIJSKOG PLANA</w:t>
      </w:r>
    </w:p>
    <w:p w14:paraId="2B1585FD" w14:textId="77777777" w:rsidR="004057CA" w:rsidRDefault="004057CA" w:rsidP="004057CA">
      <w:pPr>
        <w:pStyle w:val="Odlomakpopisa"/>
        <w:spacing w:line="259" w:lineRule="auto"/>
        <w:ind w:left="1080"/>
        <w:jc w:val="both"/>
        <w:rPr>
          <w:rFonts w:ascii="Arial" w:hAnsi="Arial" w:cs="Arial"/>
          <w:sz w:val="22"/>
        </w:rPr>
      </w:pPr>
    </w:p>
    <w:p w14:paraId="76190D23" w14:textId="77777777" w:rsidR="004057CA" w:rsidRDefault="004057CA" w:rsidP="004057CA">
      <w:pPr>
        <w:pStyle w:val="Odlomakpopisa"/>
        <w:spacing w:line="259" w:lineRule="auto"/>
        <w:ind w:left="1080"/>
        <w:jc w:val="both"/>
        <w:rPr>
          <w:rFonts w:ascii="Arial" w:hAnsi="Arial" w:cs="Arial"/>
          <w:sz w:val="22"/>
        </w:rPr>
      </w:pPr>
    </w:p>
    <w:p w14:paraId="08F3D868" w14:textId="3D23FF89" w:rsidR="004057CA" w:rsidRDefault="004057CA" w:rsidP="004057CA">
      <w:pPr>
        <w:pStyle w:val="Odlomakpopisa"/>
        <w:spacing w:line="259" w:lineRule="auto"/>
        <w:ind w:left="1080"/>
        <w:jc w:val="both"/>
        <w:rPr>
          <w:rFonts w:ascii="Arial" w:hAnsi="Arial" w:cs="Arial"/>
          <w:sz w:val="22"/>
        </w:rPr>
      </w:pPr>
      <w:r w:rsidRPr="007A6E17">
        <w:rPr>
          <w:rFonts w:ascii="Arial" w:hAnsi="Arial" w:cs="Arial"/>
          <w:sz w:val="22"/>
        </w:rPr>
        <w:t>Opći dio godišnjeg izvještaja o izvršenju Financijskog plana Interpretacijskog centra Vlaški puti za 202</w:t>
      </w:r>
      <w:r w:rsidR="009169D6">
        <w:rPr>
          <w:rFonts w:ascii="Arial" w:hAnsi="Arial" w:cs="Arial"/>
          <w:sz w:val="22"/>
        </w:rPr>
        <w:t>5</w:t>
      </w:r>
      <w:r w:rsidRPr="007A6E17">
        <w:rPr>
          <w:rFonts w:ascii="Arial" w:hAnsi="Arial" w:cs="Arial"/>
          <w:sz w:val="22"/>
        </w:rPr>
        <w:t>. godinu sastoji se od sažetka Računa prihoda i rashoda, Račun</w:t>
      </w:r>
      <w:r w:rsidR="00B9059C">
        <w:rPr>
          <w:rFonts w:ascii="Arial" w:hAnsi="Arial" w:cs="Arial"/>
          <w:sz w:val="22"/>
        </w:rPr>
        <w:t>a</w:t>
      </w:r>
      <w:r w:rsidRPr="007A6E17">
        <w:rPr>
          <w:rFonts w:ascii="Arial" w:hAnsi="Arial" w:cs="Arial"/>
          <w:sz w:val="22"/>
        </w:rPr>
        <w:t xml:space="preserve"> financiranja i Raspoloživih sredstva iz prethodnih godina, Računa prihoda i rashoda prema ekonomskoj klasifikaciji, Računa prihoda i rashoda prema izvorima financiranja, Rashoda prema funkcijskoj klasifikaciji, Računa financiranja prema ekonomskoj klasifikaciji te Računa financiranja prema izvorima.</w:t>
      </w:r>
    </w:p>
    <w:p w14:paraId="7D940D01" w14:textId="77777777" w:rsidR="004057CA" w:rsidRDefault="004057CA" w:rsidP="004057CA">
      <w:pPr>
        <w:pStyle w:val="Odlomakpopisa"/>
        <w:spacing w:line="259" w:lineRule="auto"/>
        <w:ind w:left="1080"/>
        <w:jc w:val="both"/>
        <w:rPr>
          <w:rFonts w:ascii="Arial" w:hAnsi="Arial" w:cs="Arial"/>
          <w:sz w:val="22"/>
        </w:rPr>
      </w:pPr>
    </w:p>
    <w:p w14:paraId="79FA8B26" w14:textId="77777777" w:rsidR="004057CA" w:rsidRPr="007A6E17" w:rsidRDefault="004057CA" w:rsidP="004057CA">
      <w:pPr>
        <w:pStyle w:val="Odlomakpopisa"/>
        <w:spacing w:line="259" w:lineRule="auto"/>
        <w:ind w:left="1080"/>
        <w:jc w:val="both"/>
        <w:rPr>
          <w:rFonts w:ascii="Arial" w:hAnsi="Arial" w:cs="Arial"/>
          <w:b/>
          <w:bCs/>
          <w:szCs w:val="24"/>
        </w:rPr>
      </w:pPr>
    </w:p>
    <w:p w14:paraId="77087EFC" w14:textId="73581671" w:rsidR="004057CA" w:rsidRPr="00376616" w:rsidRDefault="004057CA" w:rsidP="004057CA">
      <w:pPr>
        <w:pStyle w:val="Odlomakpopisa"/>
        <w:numPr>
          <w:ilvl w:val="1"/>
          <w:numId w:val="14"/>
        </w:numPr>
        <w:spacing w:line="259" w:lineRule="auto"/>
        <w:jc w:val="both"/>
        <w:rPr>
          <w:rFonts w:ascii="Arial" w:hAnsi="Arial" w:cs="Arial"/>
          <w:b/>
          <w:bCs/>
          <w:szCs w:val="24"/>
        </w:rPr>
      </w:pPr>
      <w:r w:rsidRPr="00376616">
        <w:rPr>
          <w:rFonts w:ascii="Arial" w:hAnsi="Arial" w:cs="Arial"/>
          <w:b/>
          <w:bCs/>
          <w:szCs w:val="24"/>
        </w:rPr>
        <w:t>Sažetak računa prihoda i rashoda i računa financiranja</w:t>
      </w:r>
    </w:p>
    <w:p w14:paraId="331931B8" w14:textId="77777777" w:rsidR="007A6E17" w:rsidRDefault="007A6E17" w:rsidP="007A6E17">
      <w:pPr>
        <w:spacing w:line="259" w:lineRule="auto"/>
        <w:jc w:val="both"/>
        <w:rPr>
          <w:rFonts w:cs="Arial"/>
          <w:b/>
          <w:bCs/>
          <w:sz w:val="20"/>
          <w:szCs w:val="20"/>
        </w:rPr>
      </w:pPr>
    </w:p>
    <w:p w14:paraId="6C5A9A42" w14:textId="77777777" w:rsidR="004057CA" w:rsidRPr="007A6E17" w:rsidRDefault="004057CA" w:rsidP="007A6E17">
      <w:pPr>
        <w:spacing w:line="259" w:lineRule="auto"/>
        <w:jc w:val="both"/>
        <w:rPr>
          <w:rFonts w:cs="Arial"/>
          <w:b/>
          <w:bCs/>
          <w:sz w:val="20"/>
          <w:szCs w:val="20"/>
        </w:rPr>
      </w:pPr>
    </w:p>
    <w:p w14:paraId="40F85C2C" w14:textId="77777777" w:rsidR="007A6E17" w:rsidRPr="007A6E17" w:rsidRDefault="007A6E17" w:rsidP="007A6E17">
      <w:pPr>
        <w:pStyle w:val="Odlomakpopisa"/>
        <w:spacing w:line="259" w:lineRule="auto"/>
        <w:ind w:left="1080"/>
        <w:jc w:val="both"/>
        <w:rPr>
          <w:rFonts w:ascii="Arial" w:hAnsi="Arial" w:cs="Arial"/>
          <w:b/>
          <w:bCs/>
          <w:sz w:val="22"/>
        </w:rPr>
      </w:pPr>
    </w:p>
    <w:p w14:paraId="17508DD4" w14:textId="77777777" w:rsidR="00C25A50" w:rsidRDefault="00C25A50" w:rsidP="00051310">
      <w:pPr>
        <w:pStyle w:val="Bezproreda"/>
        <w:rPr>
          <w:bCs/>
          <w:szCs w:val="24"/>
        </w:rPr>
      </w:pPr>
    </w:p>
    <w:tbl>
      <w:tblPr>
        <w:tblpPr w:leftFromText="180" w:rightFromText="180" w:bottomFromText="160" w:vertAnchor="page" w:horzAnchor="margin" w:tblpXSpec="center" w:tblpY="5386"/>
        <w:tblW w:w="9789" w:type="dxa"/>
        <w:tblLook w:val="04A0" w:firstRow="1" w:lastRow="0" w:firstColumn="1" w:lastColumn="0" w:noHBand="0" w:noVBand="1"/>
      </w:tblPr>
      <w:tblGrid>
        <w:gridCol w:w="3539"/>
        <w:gridCol w:w="1418"/>
        <w:gridCol w:w="1559"/>
        <w:gridCol w:w="1147"/>
        <w:gridCol w:w="1134"/>
        <w:gridCol w:w="992"/>
      </w:tblGrid>
      <w:tr w:rsidR="007A6E17" w14:paraId="1194C459" w14:textId="77777777" w:rsidTr="004057CA">
        <w:trPr>
          <w:trHeight w:val="84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52979993" w14:textId="77777777" w:rsidR="007A6E17" w:rsidRPr="00DD4BBA" w:rsidRDefault="007A6E17" w:rsidP="00405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CEB8AD9" w14:textId="77777777" w:rsidR="007A6E17" w:rsidRPr="00DD4BBA" w:rsidRDefault="007A6E17" w:rsidP="00405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Ostvarenje</w:t>
            </w:r>
          </w:p>
          <w:p w14:paraId="133A76A2" w14:textId="18C38B93" w:rsidR="007A6E17" w:rsidRPr="00DD4BBA" w:rsidRDefault="007A6E17" w:rsidP="00405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/Izvršenje      1-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</w:t>
            </w: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/202</w:t>
            </w:r>
            <w:r w:rsidR="00B739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4E5E97C" w14:textId="00EB94BF" w:rsidR="007A6E17" w:rsidRPr="00DD4BBA" w:rsidRDefault="00AD43C4" w:rsidP="00405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I.</w:t>
            </w:r>
            <w:r w:rsidR="00B739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Rebalans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2025.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33B2292" w14:textId="77777777" w:rsidR="007A6E17" w:rsidRPr="00DD4BBA" w:rsidRDefault="007A6E17" w:rsidP="00405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Ostvarenje</w:t>
            </w:r>
          </w:p>
          <w:p w14:paraId="4EAA23CA" w14:textId="2D3EA675" w:rsidR="007A6E17" w:rsidRPr="00DD4BBA" w:rsidRDefault="007A6E17" w:rsidP="00405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/Izvršenje     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1-12/202</w:t>
            </w:r>
            <w:r w:rsidR="00AD43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02BD3AC" w14:textId="77777777" w:rsidR="007A6E17" w:rsidRPr="00DD4BBA" w:rsidRDefault="007A6E17" w:rsidP="00405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5C645EC6" w14:textId="77777777" w:rsidR="007A6E17" w:rsidRPr="00DD4BBA" w:rsidRDefault="007A6E17" w:rsidP="00405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7A6E17" w14:paraId="47B99E58" w14:textId="77777777" w:rsidTr="004057CA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33D4BD3" w14:textId="77777777" w:rsidR="007A6E17" w:rsidRPr="00DD4BBA" w:rsidRDefault="007A6E17" w:rsidP="00405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19287B0" w14:textId="77777777" w:rsidR="007A6E17" w:rsidRPr="00DD4BBA" w:rsidRDefault="007A6E17" w:rsidP="00405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(€)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D6C40F4" w14:textId="77777777" w:rsidR="007A6E17" w:rsidRPr="00DD4BBA" w:rsidRDefault="007A6E17" w:rsidP="00405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(€)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D04BE90" w14:textId="77777777" w:rsidR="007A6E17" w:rsidRPr="00DD4BBA" w:rsidRDefault="007A6E17" w:rsidP="00405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(€)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A0F5FB2" w14:textId="77777777" w:rsidR="007A6E17" w:rsidRPr="00DD4BBA" w:rsidRDefault="007A6E17" w:rsidP="00405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AD71126" w14:textId="77777777" w:rsidR="007A6E17" w:rsidRPr="00DD4BBA" w:rsidRDefault="007A6E17" w:rsidP="00405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(%)</w:t>
            </w:r>
          </w:p>
        </w:tc>
      </w:tr>
      <w:tr w:rsidR="007A6E17" w14:paraId="612925EE" w14:textId="77777777" w:rsidTr="004057CA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  <w:hideMark/>
          </w:tcPr>
          <w:p w14:paraId="36FC7102" w14:textId="77777777" w:rsidR="007A6E17" w:rsidRPr="00DD4BBA" w:rsidRDefault="007A6E17" w:rsidP="00405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  <w:hideMark/>
          </w:tcPr>
          <w:p w14:paraId="0D8827CE" w14:textId="77777777" w:rsidR="007A6E17" w:rsidRPr="00DD4BBA" w:rsidRDefault="007A6E17" w:rsidP="00405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  <w:hideMark/>
          </w:tcPr>
          <w:p w14:paraId="3B6BC7A7" w14:textId="77777777" w:rsidR="007A6E17" w:rsidRPr="00DD4BBA" w:rsidRDefault="007A6E17" w:rsidP="00405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  <w:hideMark/>
          </w:tcPr>
          <w:p w14:paraId="30D725E3" w14:textId="77777777" w:rsidR="007A6E17" w:rsidRPr="00DD4BBA" w:rsidRDefault="007A6E17" w:rsidP="00405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  <w:hideMark/>
          </w:tcPr>
          <w:p w14:paraId="48D55599" w14:textId="77777777" w:rsidR="007A6E17" w:rsidRPr="00DD4BBA" w:rsidRDefault="007A6E17" w:rsidP="00405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  <w:hideMark/>
          </w:tcPr>
          <w:p w14:paraId="3B41AA25" w14:textId="77777777" w:rsidR="007A6E17" w:rsidRPr="00DD4BBA" w:rsidRDefault="007A6E17" w:rsidP="00405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</w:tr>
      <w:tr w:rsidR="007A6E17" w14:paraId="6225F439" w14:textId="77777777" w:rsidTr="004057CA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0929" w14:textId="77777777" w:rsidR="007A6E17" w:rsidRPr="00DD4BBA" w:rsidRDefault="007A6E17" w:rsidP="00405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91A5F" w14:textId="718845D2" w:rsidR="007A6E17" w:rsidRPr="00DD4BBA" w:rsidRDefault="00AD43C4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60.235,37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59C5B" w14:textId="2CDF9D3D" w:rsidR="007A6E17" w:rsidRPr="00DD4BBA" w:rsidRDefault="000014EE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70.359,00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C4AEA" w14:textId="08A1820F" w:rsidR="007A6E17" w:rsidRPr="00DD4BBA" w:rsidRDefault="007E6429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62.643,74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2D683" w14:textId="79302608" w:rsidR="007A6E17" w:rsidRPr="00DD4BBA" w:rsidRDefault="007E6429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C41D2" w14:textId="47300A2D" w:rsidR="007A6E17" w:rsidRPr="00DD4BBA" w:rsidRDefault="000014EE" w:rsidP="000014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89,0</w:t>
            </w:r>
          </w:p>
        </w:tc>
      </w:tr>
      <w:tr w:rsidR="007A6E17" w14:paraId="6581E8E2" w14:textId="77777777" w:rsidTr="004057CA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70DDD" w14:textId="77777777" w:rsidR="007A6E17" w:rsidRPr="00DD4BBA" w:rsidRDefault="007A6E17" w:rsidP="00405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BCB59" w14:textId="33C094E7" w:rsidR="007A6E17" w:rsidRPr="00DD4BBA" w:rsidRDefault="00F11338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4FD08" w14:textId="6F297551" w:rsidR="007A6E17" w:rsidRPr="00DD4BBA" w:rsidRDefault="00F11338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C04BB" w14:textId="7D9B2E54" w:rsidR="007A6E17" w:rsidRPr="00DD4BBA" w:rsidRDefault="00F11338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E5832" w14:textId="1150A5F8" w:rsidR="007A6E17" w:rsidRPr="00DD4BBA" w:rsidRDefault="00E55574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A3CF9" w14:textId="6B61B5AC" w:rsidR="007A6E17" w:rsidRPr="00DD4BBA" w:rsidRDefault="00475B65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7A6E17" w14:paraId="1EA4EC68" w14:textId="77777777" w:rsidTr="004057CA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3D00A6E" w14:textId="77777777" w:rsidR="007A6E17" w:rsidRPr="00DD4BBA" w:rsidRDefault="007A6E17" w:rsidP="00405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UKUPNI PRIHODI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F2D001F" w14:textId="0708E6B4" w:rsidR="007A6E17" w:rsidRPr="00DD4BBA" w:rsidRDefault="00AD43C4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60.235,37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C6A56CB" w14:textId="12A8DCBE" w:rsidR="007A6E17" w:rsidRPr="00DD4BBA" w:rsidRDefault="000014EE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70.359,00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6905FB2" w14:textId="5AF42ECD" w:rsidR="007A6E17" w:rsidRPr="00DD4BBA" w:rsidRDefault="007E6429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62.643,74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BB4011C" w14:textId="19033133" w:rsidR="007A6E17" w:rsidRPr="00DD4BBA" w:rsidRDefault="007E6429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39B7A06" w14:textId="2A8324A1" w:rsidR="007A6E17" w:rsidRPr="00DD4BBA" w:rsidRDefault="000014EE" w:rsidP="000014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89,0</w:t>
            </w:r>
          </w:p>
        </w:tc>
      </w:tr>
      <w:tr w:rsidR="007A6E17" w14:paraId="6CCD1B6B" w14:textId="77777777" w:rsidTr="004057CA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1C69" w14:textId="77777777" w:rsidR="007A6E17" w:rsidRPr="00DD4BBA" w:rsidRDefault="007A6E17" w:rsidP="00405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4BEB1" w14:textId="23B6DE77" w:rsidR="007A6E17" w:rsidRPr="00DD4BBA" w:rsidRDefault="00AD43C4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57.353,51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437EA" w14:textId="720C6849" w:rsidR="007A6E17" w:rsidRPr="00DD4BBA" w:rsidRDefault="00A76138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</w:t>
            </w:r>
            <w:r w:rsidR="003C01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722,40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1B48B" w14:textId="56F3ED59" w:rsidR="007A6E17" w:rsidRPr="00DD4BBA" w:rsidRDefault="00F11338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64.055,99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81C9B" w14:textId="1AFB2B9C" w:rsidR="007A6E17" w:rsidRPr="00DD4BBA" w:rsidRDefault="00E55574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111,</w:t>
            </w:r>
            <w:r w:rsidR="00356C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E0D32" w14:textId="02422CDF" w:rsidR="007A6E17" w:rsidRPr="00DD4BBA" w:rsidRDefault="00475B65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91,</w:t>
            </w:r>
            <w:r w:rsidR="00356C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</w:t>
            </w:r>
          </w:p>
        </w:tc>
      </w:tr>
      <w:tr w:rsidR="007A6E17" w14:paraId="087E8D23" w14:textId="77777777" w:rsidTr="004057CA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BE87" w14:textId="77777777" w:rsidR="007A6E17" w:rsidRPr="00DD4BBA" w:rsidRDefault="007A6E17" w:rsidP="00405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6EED3" w14:textId="19BA1C3D" w:rsidR="007A6E17" w:rsidRPr="00DD4BBA" w:rsidRDefault="00AD43C4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2.886,85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4EDD1" w14:textId="3F50AAD7" w:rsidR="007A6E17" w:rsidRPr="00DD4BBA" w:rsidRDefault="00A76138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3.233,00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44A9D" w14:textId="76003312" w:rsidR="007A6E17" w:rsidRPr="00DD4BBA" w:rsidRDefault="00F11338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3.126,12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F1ADD" w14:textId="1E825D13" w:rsidR="007A6E17" w:rsidRPr="00DD4BBA" w:rsidRDefault="00F11338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108,</w:t>
            </w:r>
            <w:r w:rsidR="00356C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6621C" w14:textId="647C3D76" w:rsidR="007A6E17" w:rsidRPr="00DD4BBA" w:rsidRDefault="00475B65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</w:t>
            </w:r>
            <w:r w:rsidR="00356C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</w:t>
            </w:r>
          </w:p>
        </w:tc>
      </w:tr>
      <w:tr w:rsidR="007A6E17" w14:paraId="4C5E2D6C" w14:textId="77777777" w:rsidTr="004057CA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9F93DB2" w14:textId="77777777" w:rsidR="007A6E17" w:rsidRPr="00DD4BBA" w:rsidRDefault="007A6E17" w:rsidP="00405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UKUPNI RASHODI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9C0C887" w14:textId="26E694FB" w:rsidR="007A6E17" w:rsidRPr="00DD4BBA" w:rsidRDefault="00AD43C4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60.240,36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3D9CE6B" w14:textId="46062FAB" w:rsidR="007A6E17" w:rsidRPr="00DD4BBA" w:rsidRDefault="00A76138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72.955,40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5D09D82" w14:textId="1E345890" w:rsidR="007A6E17" w:rsidRPr="00DD4BBA" w:rsidRDefault="00216984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67.182,11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F377EBC" w14:textId="0D4EC2CB" w:rsidR="007A6E17" w:rsidRPr="00DD4BBA" w:rsidRDefault="00216984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F05CB89" w14:textId="77B28A5D" w:rsidR="007A6E17" w:rsidRPr="00DD4BBA" w:rsidRDefault="00475B65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</w:t>
            </w:r>
            <w:r w:rsidR="00356C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</w:tr>
      <w:tr w:rsidR="007A6E17" w14:paraId="0D5B005E" w14:textId="77777777" w:rsidTr="004057CA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54015C61" w14:textId="77777777" w:rsidR="007A6E17" w:rsidRPr="00DD4BBA" w:rsidRDefault="007A6E17" w:rsidP="00405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VIŠAK / MANJAK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5341CE67" w14:textId="5E486438" w:rsidR="007A6E17" w:rsidRPr="00DD4BBA" w:rsidRDefault="00AD43C4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1E98251B" w14:textId="180736DA" w:rsidR="007A6E17" w:rsidRPr="00DD4BBA" w:rsidRDefault="000014EE" w:rsidP="000014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-2.596,40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4DD42E8F" w14:textId="2418AC08" w:rsidR="007A6E17" w:rsidRPr="00DD4BBA" w:rsidRDefault="007E6429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-4.538,37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600B152A" w14:textId="32D0FC51" w:rsidR="007A6E17" w:rsidRPr="00DD4BBA" w:rsidRDefault="00356C94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2437D7B5" w14:textId="10699B7A" w:rsidR="007A6E17" w:rsidRPr="00DD4BBA" w:rsidRDefault="00475B65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</w:t>
            </w:r>
          </w:p>
        </w:tc>
      </w:tr>
      <w:tr w:rsidR="007A6E17" w14:paraId="54F6DD83" w14:textId="77777777" w:rsidTr="004057CA">
        <w:trPr>
          <w:trHeight w:val="228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729BFCE" w14:textId="77777777" w:rsidR="007A6E17" w:rsidRPr="00DD4BBA" w:rsidRDefault="007A6E17" w:rsidP="004057C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  <w:p w14:paraId="17B041BE" w14:textId="77777777" w:rsidR="007A6E17" w:rsidRPr="00DD4BBA" w:rsidRDefault="007A6E17" w:rsidP="00405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Sažetak – Računa financiranja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FD6CBE5" w14:textId="77777777" w:rsidR="007A6E17" w:rsidRPr="00DD4BBA" w:rsidRDefault="007A6E17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E590108" w14:textId="77777777" w:rsidR="007A6E17" w:rsidRPr="00DD4BBA" w:rsidRDefault="007A6E17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7897EE0" w14:textId="77777777" w:rsidR="007A6E17" w:rsidRPr="00DD4BBA" w:rsidRDefault="007A6E17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0D53198" w14:textId="77777777" w:rsidR="007A6E17" w:rsidRPr="00DD4BBA" w:rsidRDefault="007A6E17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DDC3C02" w14:textId="77777777" w:rsidR="007A6E17" w:rsidRPr="00DD4BBA" w:rsidRDefault="007A6E17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7A6E17" w14:paraId="157C5C13" w14:textId="77777777" w:rsidTr="004057CA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  <w:hideMark/>
          </w:tcPr>
          <w:p w14:paraId="1D9CC631" w14:textId="451019D8" w:rsidR="007A6E17" w:rsidRPr="00DD4BBA" w:rsidRDefault="007A6E17" w:rsidP="00405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B. RAČUN FINANCIRANJA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14:paraId="226C0EA2" w14:textId="77777777" w:rsidR="007A6E17" w:rsidRPr="00DD4BBA" w:rsidRDefault="007A6E17" w:rsidP="00405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14:paraId="267A259C" w14:textId="77777777" w:rsidR="007A6E17" w:rsidRPr="00DD4BBA" w:rsidRDefault="007A6E17" w:rsidP="00405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14:paraId="37019376" w14:textId="77777777" w:rsidR="007A6E17" w:rsidRPr="00DD4BBA" w:rsidRDefault="007A6E17" w:rsidP="00405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14:paraId="5282DBC6" w14:textId="77777777" w:rsidR="007A6E17" w:rsidRPr="00DD4BBA" w:rsidRDefault="007A6E17" w:rsidP="00405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14:paraId="013626D5" w14:textId="77777777" w:rsidR="007A6E17" w:rsidRPr="00DD4BBA" w:rsidRDefault="007A6E17" w:rsidP="00405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</w:tr>
      <w:tr w:rsidR="007A6E17" w14:paraId="4226EB6B" w14:textId="77777777" w:rsidTr="004057CA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FC33" w14:textId="77777777" w:rsidR="007A6E17" w:rsidRPr="00DD4BBA" w:rsidRDefault="007A6E17" w:rsidP="00405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C17D2" w14:textId="0CDDA177" w:rsidR="007A6E17" w:rsidRPr="00DD4BBA" w:rsidRDefault="00AD43C4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A82A6" w14:textId="4A587808" w:rsidR="007A6E17" w:rsidRPr="00DD4BBA" w:rsidRDefault="00A76138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2C5FE" w14:textId="04E54328" w:rsidR="007A6E17" w:rsidRPr="00DD4BBA" w:rsidRDefault="000D1010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250C7" w14:textId="37678953" w:rsidR="007A6E17" w:rsidRPr="00DD4BBA" w:rsidRDefault="00C955BD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C246" w14:textId="1A0C197C" w:rsidR="007A6E17" w:rsidRPr="00DD4BBA" w:rsidRDefault="00C955BD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</w:t>
            </w:r>
          </w:p>
        </w:tc>
      </w:tr>
      <w:tr w:rsidR="007A6E17" w14:paraId="4592613B" w14:textId="77777777" w:rsidTr="004057CA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2489A" w14:textId="77777777" w:rsidR="007A6E17" w:rsidRPr="00DD4BBA" w:rsidRDefault="007A6E17" w:rsidP="00405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828E4" w14:textId="0FFB394D" w:rsidR="007A6E17" w:rsidRPr="00DD4BBA" w:rsidRDefault="00AD43C4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590B7" w14:textId="5BCECF04" w:rsidR="007A6E17" w:rsidRPr="00DD4BBA" w:rsidRDefault="00A76138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86D0" w14:textId="75151914" w:rsidR="007A6E17" w:rsidRPr="00DD4BBA" w:rsidRDefault="000D1010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9943C" w14:textId="5D3A65D7" w:rsidR="007A6E17" w:rsidRPr="00DD4BBA" w:rsidRDefault="00C955BD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87DE4" w14:textId="2461C100" w:rsidR="007A6E17" w:rsidRPr="00DD4BBA" w:rsidRDefault="00C955BD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</w:t>
            </w:r>
          </w:p>
        </w:tc>
      </w:tr>
      <w:tr w:rsidR="007A6E17" w14:paraId="4B20D033" w14:textId="77777777" w:rsidTr="004057CA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1BA8E043" w14:textId="77777777" w:rsidR="007A6E17" w:rsidRPr="00DD4BBA" w:rsidRDefault="007A6E17" w:rsidP="00405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NETO ZADUŽIVANJE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38B03D49" w14:textId="40244CAF" w:rsidR="007A6E17" w:rsidRPr="00DD4BBA" w:rsidRDefault="00AD43C4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5C2BF648" w14:textId="1830848B" w:rsidR="007A6E17" w:rsidRPr="00DD4BBA" w:rsidRDefault="00A76138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1D93FD0D" w14:textId="5231064E" w:rsidR="007A6E17" w:rsidRPr="00DD4BBA" w:rsidRDefault="000D1010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515FADD8" w14:textId="0EA1FC76" w:rsidR="007A6E17" w:rsidRPr="00DD4BBA" w:rsidRDefault="007A6E17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5E9D144E" w14:textId="35BC29F2" w:rsidR="007A6E17" w:rsidRPr="00DD4BBA" w:rsidRDefault="007A6E17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7A6E17" w14:paraId="596B16E4" w14:textId="77777777" w:rsidTr="004057CA">
        <w:trPr>
          <w:trHeight w:val="228"/>
        </w:trPr>
        <w:tc>
          <w:tcPr>
            <w:tcW w:w="3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</w:tcPr>
          <w:p w14:paraId="44E00287" w14:textId="77777777" w:rsidR="007A6E17" w:rsidRPr="00DD4BBA" w:rsidRDefault="007A6E17" w:rsidP="00405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C. RASPOLOŽIVA SREDSTVA IZ PRETHODNIH GODINA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</w:tcPr>
          <w:p w14:paraId="60CDD241" w14:textId="00BFDAA0" w:rsidR="007A6E17" w:rsidRPr="00DD4BBA" w:rsidRDefault="00AD43C4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2.601,39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</w:tcPr>
          <w:p w14:paraId="5307DFF4" w14:textId="0367FE59" w:rsidR="007A6E17" w:rsidRPr="00DD4BBA" w:rsidRDefault="00A76138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2.596,40</w:t>
            </w:r>
          </w:p>
        </w:tc>
        <w:tc>
          <w:tcPr>
            <w:tcW w:w="11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</w:tcPr>
          <w:p w14:paraId="70277365" w14:textId="7432BFA2" w:rsidR="007A6E17" w:rsidRPr="00DD4BBA" w:rsidRDefault="009C5ABB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2.596,40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</w:tcPr>
          <w:p w14:paraId="3482EF24" w14:textId="105BB72C" w:rsidR="007A6E17" w:rsidRPr="00DD4BBA" w:rsidRDefault="00A43226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99,8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</w:tcPr>
          <w:p w14:paraId="1E1CFEE3" w14:textId="657B4381" w:rsidR="007A6E17" w:rsidRPr="00DD4BBA" w:rsidRDefault="00A43226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100</w:t>
            </w:r>
            <w:r w:rsidR="008A683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,00</w:t>
            </w:r>
          </w:p>
        </w:tc>
      </w:tr>
      <w:tr w:rsidR="007A6E17" w14:paraId="7639FF4E" w14:textId="77777777" w:rsidTr="004057CA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0D27" w14:textId="77777777" w:rsidR="007A6E17" w:rsidRPr="00DD4BBA" w:rsidRDefault="007A6E17" w:rsidP="004057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9. VLASTITI IZVORI – VIŠAK/MANJAK IZ PRETHODNE GODINE KOJI ĆE SE POKRITI / RASPOREDITI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799B0" w14:textId="3047ACDD" w:rsidR="007A6E17" w:rsidRPr="00DD4BBA" w:rsidRDefault="00AD43C4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2.601,39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FCCFB" w14:textId="283C6E54" w:rsidR="007A6E17" w:rsidRPr="00DD4BBA" w:rsidRDefault="00BB55A0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2.596,40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77D12" w14:textId="0A47DB35" w:rsidR="007A6E17" w:rsidRPr="00DD4BBA" w:rsidRDefault="00A43226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2.596,40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5E4BF" w14:textId="298EBB5F" w:rsidR="007A6E17" w:rsidRPr="00DD4BBA" w:rsidRDefault="00E55574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5389E" w14:textId="4D468455" w:rsidR="007A6E17" w:rsidRPr="00DD4BBA" w:rsidRDefault="00E55574" w:rsidP="004057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D43C4" w14:paraId="4292D991" w14:textId="77777777" w:rsidTr="004057CA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  <w:hideMark/>
          </w:tcPr>
          <w:p w14:paraId="2A04418F" w14:textId="77777777" w:rsidR="00AD43C4" w:rsidRPr="00DD4BBA" w:rsidRDefault="00AD43C4" w:rsidP="00AD4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14:paraId="4FADDDCD" w14:textId="77777777" w:rsidR="00AD43C4" w:rsidRDefault="00AD43C4" w:rsidP="00AD43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  <w:p w14:paraId="5C22EF64" w14:textId="77777777" w:rsidR="00AD43C4" w:rsidRDefault="00AD43C4" w:rsidP="00AD43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  <w:p w14:paraId="4346BB13" w14:textId="77777777" w:rsidR="00AD43C4" w:rsidRDefault="00AD43C4" w:rsidP="00AD43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  <w:p w14:paraId="0053C5EC" w14:textId="0B83A963" w:rsidR="00AD43C4" w:rsidRPr="00DD4BBA" w:rsidRDefault="00AD43C4" w:rsidP="00AD4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2.596,40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14:paraId="59F8089C" w14:textId="77777777" w:rsidR="00356C94" w:rsidRDefault="00356C94" w:rsidP="00126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  <w:p w14:paraId="14F885D2" w14:textId="77777777" w:rsidR="00356C94" w:rsidRDefault="00356C94" w:rsidP="00126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  <w:p w14:paraId="3633CE01" w14:textId="77777777" w:rsidR="00356C94" w:rsidRDefault="00356C94" w:rsidP="00126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  <w:p w14:paraId="28DCA057" w14:textId="44C1C39C" w:rsidR="00AD43C4" w:rsidRPr="00DD4BBA" w:rsidRDefault="00356C94" w:rsidP="00126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                  </w:t>
            </w:r>
            <w:r w:rsidR="000014E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14:paraId="5F99ADC4" w14:textId="77777777" w:rsidR="00356C94" w:rsidRDefault="00356C94" w:rsidP="00126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  <w:p w14:paraId="58D7B827" w14:textId="77777777" w:rsidR="00356C94" w:rsidRDefault="00356C94" w:rsidP="00126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  <w:p w14:paraId="0663BEE8" w14:textId="57325010" w:rsidR="00356C94" w:rsidRDefault="00356C94" w:rsidP="00126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         </w:t>
            </w:r>
          </w:p>
          <w:p w14:paraId="32FFE686" w14:textId="66C09D69" w:rsidR="00AD43C4" w:rsidRPr="00DD4BBA" w:rsidRDefault="007E6429" w:rsidP="00126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-1.941,97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14:paraId="1E3B7E65" w14:textId="7AA7BF1D" w:rsidR="00AD43C4" w:rsidRPr="00DD4BBA" w:rsidRDefault="000628B2" w:rsidP="00AD4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         -74,7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14:paraId="6B6CA8C1" w14:textId="1B7240A2" w:rsidR="00AD43C4" w:rsidRPr="00DD4BBA" w:rsidRDefault="000628B2" w:rsidP="00AD4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             -</w:t>
            </w:r>
          </w:p>
        </w:tc>
      </w:tr>
    </w:tbl>
    <w:p w14:paraId="58A11514" w14:textId="7600C9F4" w:rsidR="00F34F18" w:rsidRPr="007A6E17" w:rsidRDefault="00051310" w:rsidP="00051310">
      <w:pPr>
        <w:pStyle w:val="Bezproreda"/>
        <w:rPr>
          <w:bCs/>
          <w:sz w:val="22"/>
        </w:rPr>
      </w:pPr>
      <w:r w:rsidRPr="00BF19A8">
        <w:rPr>
          <w:bCs/>
          <w:szCs w:val="24"/>
        </w:rPr>
        <w:t xml:space="preserve">          </w:t>
      </w:r>
      <w:r w:rsidRPr="007A6E17">
        <w:rPr>
          <w:bCs/>
          <w:sz w:val="22"/>
        </w:rPr>
        <w:t xml:space="preserve"> </w:t>
      </w:r>
    </w:p>
    <w:p w14:paraId="08571DEF" w14:textId="77777777" w:rsidR="00051310" w:rsidRDefault="00051310" w:rsidP="00051310">
      <w:pPr>
        <w:pStyle w:val="Bezproreda"/>
        <w:rPr>
          <w:bCs/>
          <w:szCs w:val="24"/>
        </w:rPr>
      </w:pPr>
    </w:p>
    <w:p w14:paraId="1123FD45" w14:textId="77777777" w:rsidR="00051310" w:rsidRDefault="00051310" w:rsidP="00051310">
      <w:pPr>
        <w:pStyle w:val="Bezproreda"/>
      </w:pPr>
    </w:p>
    <w:p w14:paraId="278B52BB" w14:textId="77777777" w:rsidR="00051310" w:rsidRDefault="00051310" w:rsidP="00051310">
      <w:pPr>
        <w:pStyle w:val="Bezproreda"/>
      </w:pPr>
    </w:p>
    <w:p w14:paraId="427F4831" w14:textId="77777777" w:rsidR="00C25A50" w:rsidRDefault="00C25A50" w:rsidP="00051310">
      <w:pPr>
        <w:pStyle w:val="Bezproreda"/>
        <w:jc w:val="center"/>
      </w:pPr>
    </w:p>
    <w:p w14:paraId="3FE0EF9E" w14:textId="77777777" w:rsidR="00051310" w:rsidRDefault="00051310" w:rsidP="00051310">
      <w:pPr>
        <w:pStyle w:val="Bezproreda"/>
        <w:rPr>
          <w:b/>
          <w:bCs/>
        </w:rPr>
      </w:pPr>
    </w:p>
    <w:p w14:paraId="17FBFC6F" w14:textId="77777777" w:rsidR="002F7593" w:rsidRDefault="002F7593" w:rsidP="004B29D8">
      <w:pPr>
        <w:pStyle w:val="Bezproreda"/>
        <w:jc w:val="left"/>
      </w:pPr>
    </w:p>
    <w:p w14:paraId="3330A02D" w14:textId="77777777" w:rsidR="002F7593" w:rsidRDefault="002F7593" w:rsidP="004B29D8">
      <w:pPr>
        <w:pStyle w:val="Bezproreda"/>
        <w:jc w:val="left"/>
      </w:pPr>
    </w:p>
    <w:p w14:paraId="4D4A0690" w14:textId="77777777" w:rsidR="002F7593" w:rsidRDefault="002F7593" w:rsidP="004B29D8">
      <w:pPr>
        <w:pStyle w:val="Bezproreda"/>
        <w:jc w:val="left"/>
      </w:pPr>
    </w:p>
    <w:p w14:paraId="62F3D026" w14:textId="77777777" w:rsidR="002F7593" w:rsidRDefault="002F7593" w:rsidP="004B29D8">
      <w:pPr>
        <w:pStyle w:val="Bezproreda"/>
        <w:jc w:val="left"/>
      </w:pPr>
    </w:p>
    <w:p w14:paraId="799B4E03" w14:textId="77777777" w:rsidR="009169D6" w:rsidRPr="00045FBA" w:rsidRDefault="009169D6" w:rsidP="009169D6">
      <w:pPr>
        <w:pStyle w:val="Bezproreda"/>
        <w:rPr>
          <w:b/>
          <w:bCs/>
        </w:rPr>
      </w:pPr>
    </w:p>
    <w:p w14:paraId="560CB50F" w14:textId="77777777" w:rsidR="009169D6" w:rsidRDefault="009169D6" w:rsidP="009169D6">
      <w:pPr>
        <w:pStyle w:val="Bezproreda"/>
        <w:numPr>
          <w:ilvl w:val="1"/>
          <w:numId w:val="14"/>
        </w:numPr>
        <w:jc w:val="left"/>
        <w:rPr>
          <w:b/>
          <w:bCs/>
          <w:szCs w:val="24"/>
        </w:rPr>
      </w:pPr>
      <w:r w:rsidRPr="00045FBA">
        <w:rPr>
          <w:b/>
          <w:bCs/>
          <w:szCs w:val="24"/>
        </w:rPr>
        <w:t>Račun prihoda i rashoda</w:t>
      </w:r>
    </w:p>
    <w:p w14:paraId="408AF6E9" w14:textId="77777777" w:rsidR="009169D6" w:rsidRPr="00045FBA" w:rsidRDefault="009169D6" w:rsidP="009169D6">
      <w:pPr>
        <w:pStyle w:val="Bezproreda"/>
        <w:ind w:left="1440"/>
        <w:jc w:val="left"/>
        <w:rPr>
          <w:b/>
          <w:bCs/>
          <w:szCs w:val="24"/>
        </w:rPr>
      </w:pPr>
    </w:p>
    <w:p w14:paraId="624AFC80" w14:textId="764015BB" w:rsidR="009169D6" w:rsidRPr="009169D6" w:rsidRDefault="009169D6" w:rsidP="009169D6">
      <w:pPr>
        <w:pStyle w:val="Odlomakpopisa"/>
        <w:spacing w:line="259" w:lineRule="auto"/>
        <w:ind w:left="1800"/>
        <w:jc w:val="both"/>
        <w:rPr>
          <w:rFonts w:ascii="Arial" w:hAnsi="Arial" w:cs="Arial"/>
          <w:bCs/>
          <w:szCs w:val="24"/>
        </w:rPr>
      </w:pPr>
      <w:r w:rsidRPr="00376616">
        <w:rPr>
          <w:rFonts w:ascii="Arial" w:hAnsi="Arial" w:cs="Arial"/>
          <w:bCs/>
          <w:szCs w:val="24"/>
        </w:rPr>
        <w:t>1.2. 1. Prihodi i rashodi prema ekonomskoj klasifikaciji</w:t>
      </w:r>
    </w:p>
    <w:p w14:paraId="71C5AA11" w14:textId="77777777" w:rsidR="009169D6" w:rsidRPr="00BF19A8" w:rsidRDefault="009169D6" w:rsidP="009169D6">
      <w:pPr>
        <w:pStyle w:val="Bezproreda"/>
        <w:ind w:left="720"/>
        <w:jc w:val="center"/>
        <w:rPr>
          <w:b/>
        </w:rPr>
      </w:pPr>
      <w:r>
        <w:rPr>
          <w:b/>
        </w:rPr>
        <w:t>Izvještaj o p</w:t>
      </w:r>
      <w:r w:rsidRPr="00BF19A8">
        <w:rPr>
          <w:b/>
        </w:rPr>
        <w:t>rihodi</w:t>
      </w:r>
      <w:r>
        <w:rPr>
          <w:b/>
        </w:rPr>
        <w:t>ma</w:t>
      </w:r>
      <w:r w:rsidRPr="00BF19A8">
        <w:rPr>
          <w:b/>
        </w:rPr>
        <w:t xml:space="preserve"> i rashodi</w:t>
      </w:r>
      <w:r>
        <w:rPr>
          <w:b/>
        </w:rPr>
        <w:t>ma</w:t>
      </w:r>
      <w:r w:rsidRPr="00BF19A8">
        <w:rPr>
          <w:b/>
        </w:rPr>
        <w:t xml:space="preserve"> prema ekonomskoj klasifikaciji</w:t>
      </w:r>
    </w:p>
    <w:p w14:paraId="1817E0A4" w14:textId="50C37A85" w:rsidR="002F7593" w:rsidRDefault="009169D6" w:rsidP="009169D6">
      <w:pPr>
        <w:pStyle w:val="Bezproreda"/>
        <w:ind w:left="720"/>
        <w:jc w:val="center"/>
      </w:pPr>
      <w:r>
        <w:t>Za razdoblje 01. siječnja 2025. do 31.prosinca 2025. godine</w:t>
      </w:r>
    </w:p>
    <w:p w14:paraId="2B6AD3F3" w14:textId="77777777" w:rsidR="002F7593" w:rsidRDefault="002F7593" w:rsidP="004B29D8">
      <w:pPr>
        <w:pStyle w:val="Bezproreda"/>
        <w:jc w:val="left"/>
      </w:pPr>
    </w:p>
    <w:p w14:paraId="481C3816" w14:textId="6711A81A" w:rsidR="000141B5" w:rsidRDefault="004B29D8" w:rsidP="004B29D8">
      <w:pPr>
        <w:pStyle w:val="Bezproreda"/>
        <w:jc w:val="left"/>
        <w:rPr>
          <w:rFonts w:asciiTheme="minorHAnsi" w:hAnsiTheme="minorHAnsi"/>
          <w:sz w:val="22"/>
        </w:rPr>
      </w:pPr>
      <w:r>
        <w:fldChar w:fldCharType="begin"/>
      </w:r>
      <w:r>
        <w:instrText xml:space="preserve"> LINK </w:instrText>
      </w:r>
      <w:r w:rsidR="000141B5">
        <w:instrText xml:space="preserve">Excel.Sheet.8 "D:\\My documents\\Rita Općina\\Polugodišni izvještaj oizvršenju Proračuna za 2024\\Ispis izvršenja proračuna -VLAŠKIPUTI.xls" "Prihodi i rashodi prema ekon.ok!R14C1:R76C6" </w:instrText>
      </w:r>
      <w:r>
        <w:instrText xml:space="preserve">\a \f 4 \h </w:instrText>
      </w:r>
      <w:r w:rsidR="00BC47DB">
        <w:instrText xml:space="preserve"> \* MERGEFORMAT </w:instrText>
      </w:r>
      <w:r>
        <w:fldChar w:fldCharType="separate"/>
      </w:r>
    </w:p>
    <w:tbl>
      <w:tblPr>
        <w:tblW w:w="9923" w:type="dxa"/>
        <w:tblInd w:w="-289" w:type="dxa"/>
        <w:tblLook w:val="04A0" w:firstRow="1" w:lastRow="0" w:firstColumn="1" w:lastColumn="0" w:noHBand="0" w:noVBand="1"/>
      </w:tblPr>
      <w:tblGrid>
        <w:gridCol w:w="4962"/>
        <w:gridCol w:w="1454"/>
        <w:gridCol w:w="1067"/>
        <w:gridCol w:w="1222"/>
        <w:gridCol w:w="809"/>
        <w:gridCol w:w="787"/>
      </w:tblGrid>
      <w:tr w:rsidR="000F72C8" w:rsidRPr="000141B5" w14:paraId="233CCF22" w14:textId="77777777" w:rsidTr="002F7593">
        <w:trPr>
          <w:divId w:val="402724334"/>
          <w:trHeight w:val="4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B15A92" w14:textId="7756CE22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Brojčana oznaka i nazi</w:t>
            </w:r>
            <w:r w:rsidR="002151B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v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prihoda i rashoda 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FEC835C" w14:textId="581E1419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Izvršenje                       1-</w:t>
            </w:r>
            <w:r w:rsidR="00BC47D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/202</w:t>
            </w:r>
            <w:r w:rsidR="0022200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F781E9C" w14:textId="2718A3F6" w:rsidR="000141B5" w:rsidRPr="000141B5" w:rsidRDefault="00222001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Rebalans 2025.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E3B3DBC" w14:textId="250D0A0C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Izvršenje                             1-</w:t>
            </w:r>
            <w:r w:rsidR="00A5654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/202</w:t>
            </w:r>
            <w:r w:rsidR="0022200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1BC20E7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Indeks  3/1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946FBF6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Indeks  3/2</w:t>
            </w:r>
          </w:p>
        </w:tc>
      </w:tr>
      <w:tr w:rsidR="000F72C8" w:rsidRPr="000141B5" w14:paraId="6B7FCDDB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E30FC2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A. RAČUN PRIHODA I RASHODA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E07F76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86A09F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CCA391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ABC72A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04A021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5</w:t>
            </w:r>
          </w:p>
        </w:tc>
      </w:tr>
      <w:tr w:rsidR="000F72C8" w:rsidRPr="000141B5" w14:paraId="521BE6C6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109296C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 Prihodi poslovanja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786C635" w14:textId="5002EC51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60.235,37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86EE561" w14:textId="02186D98" w:rsidR="00222001" w:rsidRPr="000141B5" w:rsidRDefault="0029633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70.359,00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2162731C" w14:textId="744DA0B3" w:rsidR="00222001" w:rsidRPr="000141B5" w:rsidRDefault="009349E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62.643,74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14:paraId="58E6CDD7" w14:textId="5664014A" w:rsidR="00222001" w:rsidRPr="000141B5" w:rsidRDefault="009349E3" w:rsidP="002220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104,0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14:paraId="297394B0" w14:textId="729707F1" w:rsidR="00222001" w:rsidRPr="000141B5" w:rsidRDefault="00E23FD6" w:rsidP="005E69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89,</w:t>
            </w:r>
            <w:r w:rsidR="002151B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F72C8" w:rsidRPr="000141B5" w14:paraId="7B8C5889" w14:textId="77777777" w:rsidTr="002F7593">
        <w:trPr>
          <w:divId w:val="402724334"/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114AC" w14:textId="77777777" w:rsidR="00222001" w:rsidRPr="008D67C2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D6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63 Pomoći iz inozemstva i od subjekata unutar općeg proračuna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2BCAF" w14:textId="397F1D83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11.100,00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D7A3D" w14:textId="547C9928" w:rsidR="00222001" w:rsidRPr="000141B5" w:rsidRDefault="0029633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12.593,00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748F5" w14:textId="407C4961" w:rsidR="00222001" w:rsidRPr="000141B5" w:rsidRDefault="009349E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13.256,61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6ADD5" w14:textId="2CC359D4" w:rsidR="00222001" w:rsidRPr="000141B5" w:rsidRDefault="009349E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119,4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77B27" w14:textId="27B1AF45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105,3</w:t>
            </w:r>
          </w:p>
        </w:tc>
      </w:tr>
      <w:tr w:rsidR="000F72C8" w:rsidRPr="000141B5" w14:paraId="47DEAF2A" w14:textId="77777777" w:rsidTr="002F7593">
        <w:trPr>
          <w:divId w:val="402724334"/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D8A03" w14:textId="77777777" w:rsidR="00222001" w:rsidRPr="008D67C2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D67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636 Pomoći proračunskim korisnicima iz proračuna koji im nije nadležan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473E0" w14:textId="45CE2D03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11.100,00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E299A" w14:textId="2551E8B7" w:rsidR="00222001" w:rsidRPr="000141B5" w:rsidRDefault="0029633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12.593,00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EA886" w14:textId="40ABD905" w:rsidR="00222001" w:rsidRPr="000141B5" w:rsidRDefault="009349E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13.256,61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403A1" w14:textId="15862F94" w:rsidR="00222001" w:rsidRPr="000141B5" w:rsidRDefault="009349E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119,4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C275A" w14:textId="1FF2E7A1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105,3</w:t>
            </w:r>
          </w:p>
        </w:tc>
      </w:tr>
      <w:tr w:rsidR="000F72C8" w:rsidRPr="000141B5" w14:paraId="2EF472D1" w14:textId="77777777" w:rsidTr="002F7593">
        <w:trPr>
          <w:divId w:val="402724334"/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2C7AF" w14:textId="77777777" w:rsidR="00222001" w:rsidRPr="008D67C2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D67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6361 Tekuće pomoći proračunskim korisnicima iz proračuna koji im nije nadležan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34DDB" w14:textId="485A749B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9.100,0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E96C3" w14:textId="346C3B01" w:rsidR="00222001" w:rsidRPr="000141B5" w:rsidRDefault="0029633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10.650,00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A8643" w14:textId="4566A8BE" w:rsidR="00222001" w:rsidRPr="000141B5" w:rsidRDefault="009349E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10.650,00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DA6DC" w14:textId="1D3C5FE7" w:rsidR="00222001" w:rsidRPr="000141B5" w:rsidRDefault="009349E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117,0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71CB0" w14:textId="310D2B24" w:rsidR="00222001" w:rsidRPr="000141B5" w:rsidRDefault="009349E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100,00</w:t>
            </w:r>
          </w:p>
        </w:tc>
      </w:tr>
      <w:tr w:rsidR="000F72C8" w:rsidRPr="000141B5" w14:paraId="6D2D4FB7" w14:textId="77777777" w:rsidTr="002F7593">
        <w:trPr>
          <w:divId w:val="402724334"/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57E76" w14:textId="77777777" w:rsidR="00222001" w:rsidRPr="008D67C2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D67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6362 Kapitalne pomoći proračunskim korisnicima iz proračuna koji im nije nadležan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15A18" w14:textId="3F4373E6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2.000,00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A33D8" w14:textId="400D58BC" w:rsidR="00222001" w:rsidRPr="000141B5" w:rsidRDefault="0029633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1.943,00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3B93E" w14:textId="6FB75A3A" w:rsidR="00222001" w:rsidRPr="000141B5" w:rsidRDefault="009349E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2.606,61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635D9" w14:textId="18EF11B4" w:rsidR="00222001" w:rsidRPr="000141B5" w:rsidRDefault="009349E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130,3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C93C1" w14:textId="35732E28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134,2</w:t>
            </w:r>
          </w:p>
        </w:tc>
      </w:tr>
      <w:tr w:rsidR="000F72C8" w:rsidRPr="000141B5" w14:paraId="2409702C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82260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64 Prihodi od imovine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BC9AB" w14:textId="7E33EDF5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3,93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4644A" w14:textId="549F7F94" w:rsidR="00222001" w:rsidRPr="000141B5" w:rsidRDefault="0029633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82314" w14:textId="269BA097" w:rsidR="00222001" w:rsidRPr="000141B5" w:rsidRDefault="009349E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698F2" w14:textId="1F4A88EA" w:rsidR="00222001" w:rsidRPr="000141B5" w:rsidRDefault="009349E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65,6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65E38" w14:textId="1EBE74D2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-</w:t>
            </w:r>
          </w:p>
        </w:tc>
      </w:tr>
      <w:tr w:rsidR="000F72C8" w:rsidRPr="000141B5" w14:paraId="3CF1B9B3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1C0E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641 Prihodi od financijske imovine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E1749" w14:textId="2FC18E4D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3,93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008F6" w14:textId="1C182B1E" w:rsidR="00222001" w:rsidRPr="000141B5" w:rsidRDefault="0029633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49D1B" w14:textId="1A851B0C" w:rsidR="00222001" w:rsidRPr="000141B5" w:rsidRDefault="009349E3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2,</w:t>
            </w:r>
            <w:r w:rsidR="007E642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C098B" w14:textId="5C030831" w:rsidR="00222001" w:rsidRPr="000141B5" w:rsidRDefault="009349E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65,6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719B3" w14:textId="0B94704A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-</w:t>
            </w:r>
          </w:p>
        </w:tc>
      </w:tr>
      <w:tr w:rsidR="000F72C8" w:rsidRPr="000141B5" w14:paraId="7BEBF5FF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E16B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6413 Kamate na oročena sredstva i depozite po viđenju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D9419" w14:textId="51873ED8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3,93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74ED6" w14:textId="785EB31F" w:rsidR="00222001" w:rsidRPr="000141B5" w:rsidRDefault="0029633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833B8" w14:textId="3F76402C" w:rsidR="00222001" w:rsidRPr="000141B5" w:rsidRDefault="009349E3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2,</w:t>
            </w:r>
            <w:r w:rsidR="007E642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4FABA" w14:textId="1348D25D" w:rsidR="00222001" w:rsidRPr="000141B5" w:rsidRDefault="009349E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65,6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38617" w14:textId="58A46BBF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-</w:t>
            </w:r>
          </w:p>
        </w:tc>
      </w:tr>
      <w:tr w:rsidR="000F72C8" w:rsidRPr="000141B5" w14:paraId="05263D85" w14:textId="77777777" w:rsidTr="002F7593">
        <w:trPr>
          <w:divId w:val="402724334"/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92914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66 Prihodi od prodaje proizvoda i robe te pruženih usluga i prihodi od donacija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9BE67" w14:textId="1E0F2325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2.255,40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A62F6" w14:textId="36B40D46" w:rsidR="00222001" w:rsidRPr="000141B5" w:rsidRDefault="00B7527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1.690,00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366A3" w14:textId="5F683BAD" w:rsidR="00222001" w:rsidRPr="000141B5" w:rsidRDefault="000F72C8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1.786,00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54B03" w14:textId="050D027B" w:rsidR="00222001" w:rsidRPr="000141B5" w:rsidRDefault="009349E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79,2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B9D16" w14:textId="1822B54B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105,7</w:t>
            </w:r>
          </w:p>
        </w:tc>
      </w:tr>
      <w:tr w:rsidR="000F72C8" w:rsidRPr="000141B5" w14:paraId="091AE4F7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D9C8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661 Prihodi od prodaje proizvoda i robe te pruženih usluga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9858E" w14:textId="4CC77083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2.255,40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55F65" w14:textId="3BAB9FD9" w:rsidR="00222001" w:rsidRPr="000141B5" w:rsidRDefault="00B7527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1.690,00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9721F" w14:textId="45D516BA" w:rsidR="00222001" w:rsidRPr="000141B5" w:rsidRDefault="000F72C8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1.786,00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BCD3B" w14:textId="04EB2105" w:rsidR="00222001" w:rsidRPr="000141B5" w:rsidRDefault="009349E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79,2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D0C3A" w14:textId="61D6C287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105,7</w:t>
            </w:r>
          </w:p>
        </w:tc>
      </w:tr>
      <w:tr w:rsidR="000F72C8" w:rsidRPr="000141B5" w14:paraId="012E7FD2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8DAD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6615 Prihodi od pruženih usluga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E1DA8" w14:textId="704B4AD0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2.255,40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4A0E0" w14:textId="4220262B" w:rsidR="00222001" w:rsidRPr="000141B5" w:rsidRDefault="00B7527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1.690,00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CB27A" w14:textId="6691681B" w:rsidR="00222001" w:rsidRPr="000141B5" w:rsidRDefault="000F72C8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1.786,00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7CAF6" w14:textId="3B1F25FA" w:rsidR="00222001" w:rsidRPr="000141B5" w:rsidRDefault="009349E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79,2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214A2" w14:textId="4B51CB06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105,7</w:t>
            </w:r>
          </w:p>
        </w:tc>
      </w:tr>
      <w:tr w:rsidR="000F72C8" w:rsidRPr="000141B5" w14:paraId="1CDDFB49" w14:textId="77777777" w:rsidTr="002F7593">
        <w:trPr>
          <w:divId w:val="402724334"/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A3D27" w14:textId="77777777" w:rsidR="00222001" w:rsidRPr="008D67C2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D6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67 Prihodi iz nadležnog proračuna i od HZZO-a temeljem ugovornih obveza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90545" w14:textId="5C63C378" w:rsidR="00222001" w:rsidRPr="000141B5" w:rsidRDefault="00222001" w:rsidP="002220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46.876,04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BF013" w14:textId="4A3ADB70" w:rsidR="00222001" w:rsidRPr="000141B5" w:rsidRDefault="0029633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56.076,00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5D1BC" w14:textId="64F37F6C" w:rsidR="00222001" w:rsidRPr="000141B5" w:rsidRDefault="000F72C8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47.590,57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BE20E" w14:textId="6886F9C0" w:rsidR="00222001" w:rsidRPr="000141B5" w:rsidRDefault="009349E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101,5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BF4DF" w14:textId="01981853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84,9</w:t>
            </w:r>
          </w:p>
        </w:tc>
      </w:tr>
      <w:tr w:rsidR="000F72C8" w:rsidRPr="000141B5" w14:paraId="2B0FB860" w14:textId="77777777" w:rsidTr="002F7593">
        <w:trPr>
          <w:divId w:val="402724334"/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DE50E" w14:textId="77777777" w:rsidR="00222001" w:rsidRPr="008D67C2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D67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671 Prihodi iz nadležnog proračuna za financiranje redovne djelatnosti proračunskih korisnika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91324" w14:textId="6DA2815F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46.876,04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029BE" w14:textId="43E685DB" w:rsidR="00222001" w:rsidRPr="000141B5" w:rsidRDefault="0029633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56.076,00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E1372" w14:textId="5808E947" w:rsidR="00222001" w:rsidRPr="000141B5" w:rsidRDefault="000F72C8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47.590,57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CE9CF" w14:textId="2ABB74EE" w:rsidR="00222001" w:rsidRPr="000141B5" w:rsidRDefault="009349E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101,5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28B88" w14:textId="0E9AE3B6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84,9</w:t>
            </w:r>
          </w:p>
        </w:tc>
      </w:tr>
      <w:tr w:rsidR="000F72C8" w:rsidRPr="000141B5" w14:paraId="1EAC0280" w14:textId="77777777" w:rsidTr="002F7593">
        <w:trPr>
          <w:divId w:val="402724334"/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0F7CB" w14:textId="77777777" w:rsidR="00222001" w:rsidRPr="008D67C2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D67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6711 Prihodi iz nadležnog proračuna za financiranje rashoda poslovanja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EF413" w14:textId="71088528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46.876,04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641C4" w14:textId="07CC7A22" w:rsidR="00222001" w:rsidRPr="000141B5" w:rsidRDefault="00B31DEF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54.786,00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5ACE8" w14:textId="66BB5A83" w:rsidR="00222001" w:rsidRPr="000141B5" w:rsidRDefault="000F72C8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47.071,06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71CAB" w14:textId="5B033961" w:rsidR="00222001" w:rsidRPr="000141B5" w:rsidRDefault="009349E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100,4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3A48A" w14:textId="2C6A54BA" w:rsidR="00222001" w:rsidRPr="000141B5" w:rsidRDefault="00E23FD6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85,9</w:t>
            </w:r>
          </w:p>
        </w:tc>
      </w:tr>
      <w:tr w:rsidR="000F72C8" w:rsidRPr="000141B5" w14:paraId="72B295FF" w14:textId="77777777" w:rsidTr="00E23FD6">
        <w:trPr>
          <w:divId w:val="402724334"/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52946" w14:textId="259ADDD0" w:rsidR="007E6429" w:rsidRPr="008D67C2" w:rsidRDefault="007E6429" w:rsidP="00126B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6712 </w:t>
            </w:r>
            <w:r w:rsidRPr="008D67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Prihodi iz nadležnog proračuna za financiranje </w:t>
            </w:r>
            <w:r w:rsidR="00126B8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rashoda za nabavu nefinancijske imovine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5D336E" w14:textId="54838981" w:rsidR="007E6429" w:rsidRPr="002D085E" w:rsidRDefault="002D085E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2D085E">
              <w:rPr>
                <w:rFonts w:ascii="Arial" w:hAnsi="Arial" w:cs="Arial"/>
                <w:color w:val="1D2228"/>
                <w:sz w:val="18"/>
                <w:szCs w:val="18"/>
                <w:shd w:val="clear" w:color="auto" w:fill="FFFFFF"/>
              </w:rPr>
              <w:t>886,85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AC400" w14:textId="3AA102D3" w:rsidR="00B07DC0" w:rsidRDefault="00B7527B" w:rsidP="00B7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1.290,00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E00F4" w14:textId="01C5649B" w:rsidR="007E6429" w:rsidRDefault="00126B8A" w:rsidP="00BE2D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</w:t>
            </w:r>
            <w:r w:rsidR="00BE2DED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19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,51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C75905" w14:textId="03B20EBF" w:rsidR="007E6429" w:rsidRDefault="002D085E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58,6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F007D" w14:textId="61D99043" w:rsidR="007E6429" w:rsidRDefault="00E23FD6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40,3</w:t>
            </w:r>
          </w:p>
        </w:tc>
      </w:tr>
      <w:tr w:rsidR="000F72C8" w:rsidRPr="000141B5" w14:paraId="4D7998BC" w14:textId="77777777" w:rsidTr="002F7593">
        <w:trPr>
          <w:divId w:val="402724334"/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27670" w14:textId="244BBED3" w:rsidR="00126B8A" w:rsidRDefault="00126B8A" w:rsidP="00126B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68</w:t>
            </w:r>
            <w:r w:rsidR="008E255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Ostali prihodi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6961C" w14:textId="2002C8E1" w:rsidR="00126B8A" w:rsidRDefault="005E69A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9678A" w14:textId="2C4D24AD" w:rsidR="00126B8A" w:rsidRDefault="005E69A3" w:rsidP="008E2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62242" w14:textId="6AB5C62B" w:rsidR="00126B8A" w:rsidRDefault="008E255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7,98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CF19A" w14:textId="77777777" w:rsidR="00126B8A" w:rsidRDefault="00126B8A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D808E" w14:textId="77777777" w:rsidR="00126B8A" w:rsidRDefault="00126B8A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14A5E60C" w14:textId="77777777" w:rsidTr="002F7593">
        <w:trPr>
          <w:divId w:val="402724334"/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74121" w14:textId="57E6AD39" w:rsidR="00126B8A" w:rsidRDefault="00126B8A" w:rsidP="008E2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6831 Ostali prihodi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A6D82" w14:textId="309D1CE8" w:rsidR="00126B8A" w:rsidRDefault="005E69A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7D8A3" w14:textId="53A29A02" w:rsidR="00126B8A" w:rsidRDefault="005E69A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EB8D6" w14:textId="2E8CF11F" w:rsidR="00126B8A" w:rsidRDefault="00126B8A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7,98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5B87E" w14:textId="77777777" w:rsidR="00126B8A" w:rsidRDefault="00126B8A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38FF1" w14:textId="77777777" w:rsidR="00126B8A" w:rsidRDefault="00126B8A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276465B8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89D19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 Prihodi od prodaje nefinancijske imovine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FB58D" w14:textId="06BEBB65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4CA86" w14:textId="13A65970" w:rsidR="00222001" w:rsidRPr="000141B5" w:rsidRDefault="0029633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A4A86" w14:textId="0F177C3D" w:rsidR="00222001" w:rsidRPr="000141B5" w:rsidRDefault="00B016BD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9DA56" w14:textId="53E394A2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9DF31" w14:textId="3AC38CE3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-</w:t>
            </w:r>
          </w:p>
        </w:tc>
      </w:tr>
      <w:tr w:rsidR="000F72C8" w:rsidRPr="000141B5" w14:paraId="1AAC0BCE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14B1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71 Prihodi od prodaje neproizvedene dugotrajne imovine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9A3C3" w14:textId="60B277C1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C6B66" w14:textId="71792327" w:rsidR="00222001" w:rsidRPr="000141B5" w:rsidRDefault="0029633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0EFAF" w14:textId="2D13516B" w:rsidR="00222001" w:rsidRPr="000141B5" w:rsidRDefault="00B016BD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7FF4B" w14:textId="5CC9F3E6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9973E" w14:textId="7B00AE50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-</w:t>
            </w:r>
          </w:p>
        </w:tc>
      </w:tr>
      <w:tr w:rsidR="000F72C8" w:rsidRPr="000141B5" w14:paraId="5898B46C" w14:textId="77777777" w:rsidTr="002F7593">
        <w:trPr>
          <w:divId w:val="402724334"/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D8F10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711 Prihodi od prodaje materijalne imovine - prirodnih bogatstava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3F9E" w14:textId="3B43B50A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34BF8" w14:textId="32BA183D" w:rsidR="00222001" w:rsidRPr="000141B5" w:rsidRDefault="0029633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62C15" w14:textId="0D3E430B" w:rsidR="00222001" w:rsidRPr="000141B5" w:rsidRDefault="00B016BD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5E3F2" w14:textId="4A9EB1B8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664DF" w14:textId="642C28B3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-</w:t>
            </w:r>
          </w:p>
        </w:tc>
      </w:tr>
      <w:tr w:rsidR="000F72C8" w:rsidRPr="000141B5" w14:paraId="79C9685B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8546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7111 Zemljište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BB9CD" w14:textId="08D154BB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3D28D" w14:textId="5D582D31" w:rsidR="00222001" w:rsidRPr="000141B5" w:rsidRDefault="0029633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4656" w14:textId="5FC7E02D" w:rsidR="00222001" w:rsidRPr="000141B5" w:rsidRDefault="00B016BD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42649" w14:textId="4514C0A7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D9E93" w14:textId="0D223BC3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-</w:t>
            </w:r>
          </w:p>
        </w:tc>
      </w:tr>
      <w:tr w:rsidR="000F72C8" w:rsidRPr="000141B5" w14:paraId="1A7FB782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6E09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72 Prihodi od prodaje proizvedene dugotrajne imovine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B163A" w14:textId="61AC499F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0896F" w14:textId="69002D65" w:rsidR="00222001" w:rsidRPr="000141B5" w:rsidRDefault="0029633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54369" w14:textId="77E6EC0E" w:rsidR="00222001" w:rsidRPr="000141B5" w:rsidRDefault="00B016BD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7F60D" w14:textId="482F9438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72193" w14:textId="755B6E6B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-</w:t>
            </w:r>
          </w:p>
        </w:tc>
      </w:tr>
      <w:tr w:rsidR="000F72C8" w:rsidRPr="000141B5" w14:paraId="725A513F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A50F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721 Prihodi od prodaje građevinskih objekata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BF814" w14:textId="299141BD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909FB" w14:textId="3DF9CFCF" w:rsidR="00222001" w:rsidRPr="000141B5" w:rsidRDefault="0029633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0BF8C" w14:textId="1999FE30" w:rsidR="00222001" w:rsidRPr="000141B5" w:rsidRDefault="00B016BD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11DC5" w14:textId="6456021B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00C71" w14:textId="4FA8031E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-</w:t>
            </w:r>
          </w:p>
        </w:tc>
      </w:tr>
      <w:tr w:rsidR="000F72C8" w:rsidRPr="000141B5" w14:paraId="5A7275A5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BC404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7211 Stambeni objekti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B971C" w14:textId="4493B57E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0D5DB" w14:textId="3A7D422F" w:rsidR="00222001" w:rsidRPr="000141B5" w:rsidRDefault="0029633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8ED60" w14:textId="70531E26" w:rsidR="00222001" w:rsidRPr="000141B5" w:rsidRDefault="00B016BD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76C44" w14:textId="529BB6E0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15839" w14:textId="7B8C86AA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-</w:t>
            </w:r>
          </w:p>
        </w:tc>
      </w:tr>
      <w:tr w:rsidR="000F72C8" w:rsidRPr="000141B5" w14:paraId="383F0205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5776E" w14:textId="2F768E14" w:rsidR="00222001" w:rsidRPr="00206208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20620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UKUPNO RASHODI/Izdaci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3A076" w14:textId="4664851C" w:rsidR="00222001" w:rsidRPr="00206208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20620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60.240,3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F9F1D" w14:textId="74CE990A" w:rsidR="00222001" w:rsidRPr="00206208" w:rsidRDefault="007421B8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72.955,40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809FA" w14:textId="78736A4D" w:rsidR="00222001" w:rsidRPr="00206208" w:rsidRDefault="001E6C77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67.182,11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3B222" w14:textId="213E0FB5" w:rsidR="00222001" w:rsidRDefault="001E6C77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111,52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594EC" w14:textId="42DBF021" w:rsidR="00222001" w:rsidRDefault="001E6C77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92,</w:t>
            </w:r>
            <w:r w:rsidR="002151B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</w:t>
            </w:r>
          </w:p>
        </w:tc>
      </w:tr>
      <w:tr w:rsidR="000F72C8" w:rsidRPr="000141B5" w14:paraId="7B644220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4182D34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 Rashodi poslovanja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5E8B242B" w14:textId="496DECE9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57.353,51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1AF75E44" w14:textId="0C6BB6D5" w:rsidR="00222001" w:rsidRPr="000141B5" w:rsidRDefault="0029633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69.722,40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1EE8059C" w14:textId="225E59EB" w:rsidR="00222001" w:rsidRPr="000141B5" w:rsidRDefault="007421B8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64.055,99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62C0046" w14:textId="286E61E5" w:rsidR="00222001" w:rsidRPr="000141B5" w:rsidRDefault="00B016BD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111,7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211345AA" w14:textId="795201E8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91,9</w:t>
            </w:r>
          </w:p>
        </w:tc>
      </w:tr>
      <w:tr w:rsidR="000F72C8" w:rsidRPr="000141B5" w14:paraId="72597237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CEBE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31 Rashodi za zaposlene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D3873" w14:textId="4256F58D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42.871,9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B5D0E" w14:textId="4B856425" w:rsidR="00222001" w:rsidRPr="000141B5" w:rsidRDefault="007421B8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51.219,00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DD4A6" w14:textId="3B4478E0" w:rsidR="00222001" w:rsidRPr="000141B5" w:rsidRDefault="007421B8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49.179,45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3DA17" w14:textId="501E8BF0" w:rsidR="00222001" w:rsidRPr="000141B5" w:rsidRDefault="00FA0B29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114,7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292E0" w14:textId="7A64306B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96,0</w:t>
            </w:r>
          </w:p>
        </w:tc>
      </w:tr>
      <w:tr w:rsidR="000F72C8" w:rsidRPr="000141B5" w14:paraId="21396C61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95D3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311 Plaće (Bruto)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3A494" w14:textId="7940B2D6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32.113,45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DB562" w14:textId="1AE1A0EA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42E91" w14:textId="4CF1A8FB" w:rsidR="00222001" w:rsidRPr="000141B5" w:rsidRDefault="007421B8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38.220,82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B52D5" w14:textId="05F88D99" w:rsidR="00222001" w:rsidRPr="000141B5" w:rsidRDefault="00FA0B29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119,0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8D46" w14:textId="3FE43D6D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55426637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96B0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3111 Plaće za redovan rad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4B96E" w14:textId="3D4A559B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28.024,17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A5C1E" w14:textId="5CE6F677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CDCB6" w14:textId="28775A44" w:rsidR="00222001" w:rsidRPr="000141B5" w:rsidRDefault="007421B8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33.762,78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C2F05" w14:textId="7E4BD3D8" w:rsidR="00222001" w:rsidRPr="000141B5" w:rsidRDefault="00FA0B29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120,5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4CB27" w14:textId="32156420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7A12A302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3E05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3113 Plaće za prekovremeni rad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03131" w14:textId="6A561A64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4.089,28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BE384" w14:textId="238A1BAF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41A12" w14:textId="0A9EB9CF" w:rsidR="00222001" w:rsidRPr="000141B5" w:rsidRDefault="007421B8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4.458,04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8D339" w14:textId="51881F69" w:rsidR="00222001" w:rsidRPr="000141B5" w:rsidRDefault="00FA0B29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109,0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BEB68" w14:textId="79AEFE2E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4C1B1034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86B4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312 Ostali rashodi za zaposlene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06E5A" w14:textId="59A9C5C4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5.460,16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626B2" w14:textId="0454C3FF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756C0" w14:textId="616B770E" w:rsidR="00222001" w:rsidRPr="000141B5" w:rsidRDefault="007421B8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4.652,17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7E6A7" w14:textId="60ED7971" w:rsidR="00222001" w:rsidRPr="000141B5" w:rsidRDefault="00FA0B29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85,2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88BE2" w14:textId="495A33C1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7AAFA124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7016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3121 Ostali rashodi za zaposlene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DC3A0" w14:textId="770D88DA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5.460,16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69D7B" w14:textId="42EFC2B0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42EAE" w14:textId="7473A9AE" w:rsidR="00222001" w:rsidRPr="000141B5" w:rsidRDefault="007421B8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4.652,17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FAF7E" w14:textId="26D29795" w:rsidR="00222001" w:rsidRPr="000141B5" w:rsidRDefault="00FA0B29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85,2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C3164" w14:textId="2480557F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73F1DAEA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DDC9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313 Doprinosi na plaće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A3DAA" w14:textId="6C27EC84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5.298,33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C6DD7" w14:textId="030CA47F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E84BB" w14:textId="5E72292D" w:rsidR="00222001" w:rsidRPr="000141B5" w:rsidRDefault="007421B8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6.306,46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6D98B" w14:textId="5617A0EC" w:rsidR="00222001" w:rsidRPr="000141B5" w:rsidRDefault="00FA0B29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119,0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47AA4" w14:textId="6A5CAF91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295F902E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2E3C" w14:textId="77777777" w:rsidR="00222001" w:rsidRPr="008D67C2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D67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3132 Doprinosi za obvezno zdravstveno osiguranje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26493" w14:textId="2817AC8E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5.298,33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93EC2" w14:textId="170F455A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96CC6" w14:textId="24CA0951" w:rsidR="00222001" w:rsidRPr="000141B5" w:rsidRDefault="007421B8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6.306,46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EA8AB" w14:textId="51752B52" w:rsidR="00222001" w:rsidRPr="000141B5" w:rsidRDefault="00FA0B29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119,0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97F90" w14:textId="00C843FE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3F46569B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F885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32 Materijalni rashodi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CEEEA" w14:textId="773E5170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14.199,99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676BA" w14:textId="7B0D1B2E" w:rsidR="00222001" w:rsidRPr="000141B5" w:rsidRDefault="00BB55A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18.140,40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590BD" w14:textId="45868A12" w:rsidR="00222001" w:rsidRPr="000141B5" w:rsidRDefault="007421B8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14.571,35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E9454" w14:textId="04CC8B87" w:rsidR="00222001" w:rsidRPr="000141B5" w:rsidRDefault="00E33E7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102,6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D230D" w14:textId="46CC024C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80,3</w:t>
            </w:r>
          </w:p>
        </w:tc>
      </w:tr>
      <w:tr w:rsidR="000F72C8" w:rsidRPr="000141B5" w14:paraId="38951E5B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4A95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321 Naknade troškova zaposlenima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AFA8B" w14:textId="40B1A8D4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1.795,3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A53C1" w14:textId="55B94FF9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BE1DD" w14:textId="0F2FF7E9" w:rsidR="00222001" w:rsidRPr="000141B5" w:rsidRDefault="007421B8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1.344,86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4B175" w14:textId="6AFCDDDE" w:rsidR="00222001" w:rsidRPr="000141B5" w:rsidRDefault="00E33E7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74,9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884A2" w14:textId="7D4E3F0E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03F3A202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A6B4A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3211 Službena putovanja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2D4BE" w14:textId="5C446C7A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715,0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85536" w14:textId="413DDCD9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9F0CE" w14:textId="77B63ABC" w:rsidR="00222001" w:rsidRPr="000141B5" w:rsidRDefault="00E33E7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718,2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7CFCD" w14:textId="020A5298" w:rsidR="00222001" w:rsidRPr="000141B5" w:rsidRDefault="00E33E7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100,4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BB175" w14:textId="3DD5EE34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73237B4F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EBA9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3212 Naknade za prijevoz, za rad na terenu i odvojeni život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F906E" w14:textId="56DDBBB4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987,48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4A43A" w14:textId="542508BF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D1DDD" w14:textId="148002DF" w:rsidR="00222001" w:rsidRPr="000141B5" w:rsidRDefault="00E33E7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335,66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F6421" w14:textId="0D281111" w:rsidR="00222001" w:rsidRPr="000141B5" w:rsidRDefault="00E33E7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34,0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10C59" w14:textId="5950D27F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4EFA10BA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82C1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3213 Stručno usavršavanje zaposlenika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B061A" w14:textId="4FDD8DE5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92,91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5BAB6" w14:textId="2BCD5D7B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8927D" w14:textId="67E74794" w:rsidR="00222001" w:rsidRPr="000141B5" w:rsidRDefault="00E33E7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89A5C" w14:textId="4C667CB6" w:rsidR="00222001" w:rsidRPr="000141B5" w:rsidRDefault="00E33E7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9C62" w14:textId="0CA8460E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3073725B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8117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3214 Ostale naknade troškova zaposlenima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5412D" w14:textId="78589661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20B73" w14:textId="00880636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E2C26" w14:textId="25A5EA7F" w:rsidR="00222001" w:rsidRPr="000141B5" w:rsidRDefault="00E33E7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291,0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05A77" w14:textId="6921E34D" w:rsidR="00222001" w:rsidRPr="000141B5" w:rsidRDefault="00E33E7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B4498" w14:textId="2E943A7D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7E16E591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DF8E" w14:textId="77777777" w:rsidR="00222001" w:rsidRPr="008D67C2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en-GB"/>
              </w:rPr>
            </w:pPr>
            <w:r w:rsidRPr="008D67C2">
              <w:rPr>
                <w:rFonts w:ascii="Arial" w:eastAsia="Times New Roman" w:hAnsi="Arial" w:cs="Arial"/>
                <w:sz w:val="18"/>
                <w:szCs w:val="18"/>
                <w:lang w:val="de-DE" w:eastAsia="en-GB"/>
              </w:rPr>
              <w:t>322 Rashodi za materijal i energiju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B23E7" w14:textId="03CE15A3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1.192,45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D1C2D" w14:textId="7D6306E0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EBA39" w14:textId="57FFB7B5" w:rsidR="00222001" w:rsidRPr="000141B5" w:rsidRDefault="00E33E7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1.162,68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AE850" w14:textId="25AD52DE" w:rsidR="00222001" w:rsidRPr="000141B5" w:rsidRDefault="00E33E7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97,5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F031B" w14:textId="0794981E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74BA9A84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E5CF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3221 Uredski materijal i ostali materijalni rashodi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A1309" w14:textId="0F7BA51E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653,70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91C22" w14:textId="5B0BC798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9125A" w14:textId="62F4CF28" w:rsidR="00222001" w:rsidRPr="000141B5" w:rsidRDefault="00E33E7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653,25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1E3E8" w14:textId="74D322C2" w:rsidR="00222001" w:rsidRPr="000141B5" w:rsidRDefault="00E33E7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99,9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113A0" w14:textId="6A9C6E0B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6A5683DE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6BF67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3222 Materijal i sirovine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993A" w14:textId="3737CA88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81280" w14:textId="6DF50023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A7677" w14:textId="40FAC509" w:rsidR="00222001" w:rsidRPr="000141B5" w:rsidRDefault="00E33E7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7,00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F9562" w14:textId="6F65CFDF" w:rsidR="00222001" w:rsidRPr="000141B5" w:rsidRDefault="00E33E7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2CEDC" w14:textId="0E369037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7E48DF6F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D376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3225 Sitni inventar i auto gume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61A59" w14:textId="60AD5DC2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538,75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DC948" w14:textId="6B132A76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FC03A" w14:textId="4D905240" w:rsidR="00222001" w:rsidRPr="000141B5" w:rsidRDefault="00E33E7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502,43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E2839" w14:textId="047D12F5" w:rsidR="00222001" w:rsidRPr="000141B5" w:rsidRDefault="00E33E7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93,3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9BA32" w14:textId="5E4736E4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5065B33C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AC45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323 Rashodi za usluge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DB227" w14:textId="127D6625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9.754,10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848E6" w14:textId="75C45CC7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18B61" w14:textId="103420F4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10.909,54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CCA53" w14:textId="49C15524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111,8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AB3EF" w14:textId="062FD3CE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0EB0B5F1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9F5B6" w14:textId="77777777" w:rsidR="00222001" w:rsidRPr="009C7453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en-GB"/>
              </w:rPr>
            </w:pPr>
            <w:r w:rsidRPr="009C7453">
              <w:rPr>
                <w:rFonts w:ascii="Arial" w:eastAsia="Times New Roman" w:hAnsi="Arial" w:cs="Arial"/>
                <w:sz w:val="18"/>
                <w:szCs w:val="18"/>
                <w:lang w:val="de-DE" w:eastAsia="en-GB"/>
              </w:rPr>
              <w:t>3231 Usluge telefona, pošte i prijevoza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43D0D" w14:textId="7FDD4848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489,20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7182F" w14:textId="0F691C80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76B50" w14:textId="1BB55FF7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542,3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CA44B" w14:textId="464A55DE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110,9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7AEFB" w14:textId="38D5B12F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3A85EF03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58D99" w14:textId="37BAABAD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3233 Usluge promidžbe i informiranja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5F363" w14:textId="79E38150" w:rsidR="00222001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62,24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6D769" w14:textId="4E771FCF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2A4B1" w14:textId="36A9A480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248,51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51A6D" w14:textId="408574FE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399,3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3B8D0" w14:textId="78FB2A6B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6746320C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A19D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3234 Komunalne usluge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4CD51" w14:textId="0F153138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367,86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568A0" w14:textId="4B0C22B6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BB7EB" w14:textId="3C3F6C3F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371,28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B542B" w14:textId="2D43B923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100,9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8A608" w14:textId="56973C9C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7AC447C7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ED50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3237 Intelektualne i osobne usluge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EC3EB" w14:textId="4A6040ED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6.462,06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EEE81" w14:textId="2B9C8A24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0A66E" w14:textId="29856D49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7.617,96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D7C17" w14:textId="4376439A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117,9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E45B1" w14:textId="02FD22B0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17F7399F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8B23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3238 Računalne usluge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0A2A5" w14:textId="62696F21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1.134,91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C611F" w14:textId="2F6C61BE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69930" w14:textId="51DCA8ED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1.201,23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F7F62" w14:textId="5DB3046E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105,8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6AE3D" w14:textId="442870A3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0C5F48E4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4BFA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3239 Ostale usluge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166AC" w14:textId="0354D45D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1.237,83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CBECF" w14:textId="6BEE879E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0F261" w14:textId="7AF7A804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928,26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F2B49" w14:textId="64F45204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75,0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C6444" w14:textId="5E75E79F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17BD9D09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118B" w14:textId="77777777" w:rsidR="00222001" w:rsidRPr="009C7453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324 Naknade troškova osobama izvan radnog odnosa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9DC9C" w14:textId="23BE2BB7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387,38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121B7" w14:textId="092831E9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7498A" w14:textId="400BCA3B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D07BA" w14:textId="5E360992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E472E" w14:textId="33CD5D27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-</w:t>
            </w:r>
          </w:p>
        </w:tc>
      </w:tr>
      <w:tr w:rsidR="000F72C8" w:rsidRPr="000141B5" w14:paraId="615A98FA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1645" w14:textId="77777777" w:rsidR="00222001" w:rsidRPr="009C7453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3241 Naknade troškova osobama izvan radnog odnosa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93127" w14:textId="026DFA7E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387,38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F8813" w14:textId="660F759C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411C0" w14:textId="172AC0E0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9CC37" w14:textId="5A1A08B8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C2F2C" w14:textId="687B60A1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-</w:t>
            </w:r>
          </w:p>
        </w:tc>
      </w:tr>
      <w:tr w:rsidR="000F72C8" w:rsidRPr="000141B5" w14:paraId="669492C4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A188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329 Ostali nespomenuti rashodi poslovanja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E222" w14:textId="32AC5938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1.070,67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FF26A" w14:textId="7A1FC3D3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3B1F6" w14:textId="5572D7D8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1.154,27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01F5" w14:textId="2A80083D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107,8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AFACE" w14:textId="5B947C32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57A8BBA9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F528D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3292 Premije osiguranja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ED3E5" w14:textId="5D86626D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813,81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3EEF4" w14:textId="6C439766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2DCA8" w14:textId="2947D81D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950,21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806F4" w14:textId="71B3B4D2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116,8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F8406" w14:textId="371071B0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58B43A57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284B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3293 Reprezentacija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AC6A7" w14:textId="0F40B60E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256,86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39C74" w14:textId="78141FAF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5F94A" w14:textId="094760AE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177,52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95BFB" w14:textId="04EF75C3" w:rsidR="00222001" w:rsidRPr="000141B5" w:rsidRDefault="00C47FF4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69,1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A8CB1" w14:textId="0CE6432F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110769E4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16739" w14:textId="5307EF05" w:rsidR="007B6FD0" w:rsidRPr="000141B5" w:rsidRDefault="007B6FD0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3295 Pristojbe i naknade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1FC20" w14:textId="087A8D64" w:rsidR="007B6FD0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252BB" w14:textId="77777777" w:rsidR="007B6FD0" w:rsidRPr="000141B5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CBA8E" w14:textId="397BF458" w:rsidR="007B6FD0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26,54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DC5A2" w14:textId="6359B79F" w:rsidR="007B6FD0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3AED8" w14:textId="77777777" w:rsidR="007B6FD0" w:rsidRPr="000141B5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0BD00235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05DB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34 Financijski rashodi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06BC3" w14:textId="036AD542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281,5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30370" w14:textId="3249E511" w:rsidR="00222001" w:rsidRPr="000141B5" w:rsidRDefault="00BB55A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363,00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7B33B" w14:textId="78FC456F" w:rsidR="00222001" w:rsidRPr="000141B5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305,19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3CC95" w14:textId="4A3A773B" w:rsidR="00222001" w:rsidRPr="000141B5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108,4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C240E" w14:textId="3DD21F94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84,1</w:t>
            </w:r>
          </w:p>
        </w:tc>
      </w:tr>
      <w:tr w:rsidR="000F72C8" w:rsidRPr="000141B5" w14:paraId="76C853B0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16BEB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343 Ostali financijski rashodi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5E6D8" w14:textId="6D9CD8F1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281,58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5C975" w14:textId="78AC182B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E50F0" w14:textId="36825A56" w:rsidR="00222001" w:rsidRPr="000141B5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305,19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3F350" w14:textId="3182AE34" w:rsidR="00222001" w:rsidRPr="000141B5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108,4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9FBAA" w14:textId="7508A665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407C1877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8A35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3431 Bankarske usluge i usluge platnog prometa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61C72" w14:textId="6C23FA5B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281,58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E31BC" w14:textId="7D282F5D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6B77E" w14:textId="4C97BB4A" w:rsidR="00222001" w:rsidRPr="000141B5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305,17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A071C" w14:textId="15E0054D" w:rsidR="00222001" w:rsidRPr="000141B5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108,4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88B2" w14:textId="67E45D7C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06D540D2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542F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3433 Zatezne kamate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18FCE" w14:textId="75566C10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687B6" w14:textId="09AE0BD5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11B98" w14:textId="6C32ED03" w:rsidR="00222001" w:rsidRPr="000141B5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C8530" w14:textId="56D6C4CA" w:rsidR="00222001" w:rsidRPr="000141B5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E5CA6" w14:textId="08486F8C" w:rsidR="00222001" w:rsidRPr="000141B5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-</w:t>
            </w:r>
          </w:p>
        </w:tc>
      </w:tr>
      <w:tr w:rsidR="000F72C8" w:rsidRPr="000141B5" w14:paraId="0C92FDB0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E247D26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 Rashodi za nabavu nefinancijske imovine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18E1F1E0" w14:textId="7B95D270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2.886,85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2F08D466" w14:textId="33017380" w:rsidR="00222001" w:rsidRPr="000141B5" w:rsidRDefault="00BB55A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3.233,00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0C92579" w14:textId="2CB54C1E" w:rsidR="00222001" w:rsidRPr="000141B5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3.126,12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3FAF5352" w14:textId="64C1B199" w:rsidR="00222001" w:rsidRPr="000141B5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108,3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41C4BC1" w14:textId="2D711B31" w:rsidR="00222001" w:rsidRPr="000141B5" w:rsidRDefault="0028231B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96,7</w:t>
            </w:r>
          </w:p>
        </w:tc>
      </w:tr>
      <w:tr w:rsidR="000F72C8" w:rsidRPr="000141B5" w14:paraId="60E2B78C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02DB" w14:textId="77777777" w:rsidR="00222001" w:rsidRPr="009C7453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42 Rashodi za nabavu proizvedene dugotrajne imovine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750E" w14:textId="38FB778A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2.886,85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C90B3" w14:textId="225CE38A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7EB30" w14:textId="1E5EB1FD" w:rsidR="00222001" w:rsidRPr="000141B5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3.126,12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640D7" w14:textId="586452E3" w:rsidR="00222001" w:rsidRPr="000141B5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108,3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25EFC" w14:textId="16F6B940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09962F41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5311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422 Postrojenja i oprema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7B1E0" w14:textId="10FBCB3E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2.886,85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FE493" w14:textId="23756125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09B2B" w14:textId="3CBF835A" w:rsidR="00222001" w:rsidRPr="000141B5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3.126,12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D8A33" w14:textId="3383FC68" w:rsidR="00222001" w:rsidRPr="000141B5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108,3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BAE9A" w14:textId="7C89B991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5F6F523C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6F29E" w14:textId="163AB3D1" w:rsidR="007B6FD0" w:rsidRPr="000141B5" w:rsidRDefault="007B6FD0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4221 Uredska oprema i namještaj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675A8" w14:textId="09858CC3" w:rsidR="007B6FD0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C9B34" w14:textId="77777777" w:rsidR="007B6FD0" w:rsidRPr="000141B5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AE665" w14:textId="264B1771" w:rsidR="007B6FD0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689,00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5759F" w14:textId="29CF2444" w:rsidR="007B6FD0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E5929" w14:textId="77777777" w:rsidR="007B6FD0" w:rsidRPr="000141B5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6A2A7D20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73E7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4227 Uređaji, strojevi i oprema za ostale namjene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E53F6" w14:textId="26B0CFF5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2.886,85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7E58D" w14:textId="691C8B93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E1C41" w14:textId="6055076A" w:rsidR="00222001" w:rsidRPr="000141B5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2.437,12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EAEC6" w14:textId="6053E870" w:rsidR="00222001" w:rsidRPr="000141B5" w:rsidRDefault="007B6FD0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84,4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3AE81" w14:textId="4AA0DABF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F72C8" w:rsidRPr="000141B5" w14:paraId="6388F141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F34F9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426 Nematerijalna proizvedena imovina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03A6F" w14:textId="34B42FE7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E5F1C" w14:textId="07237D05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38426" w14:textId="49A8F4D1" w:rsidR="00222001" w:rsidRPr="000141B5" w:rsidRDefault="0089470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16A84" w14:textId="7005E751" w:rsidR="00222001" w:rsidRPr="000141B5" w:rsidRDefault="0089470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01315" w14:textId="545BCE34" w:rsidR="00222001" w:rsidRPr="000141B5" w:rsidRDefault="0089470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-</w:t>
            </w:r>
          </w:p>
        </w:tc>
      </w:tr>
      <w:tr w:rsidR="000F72C8" w:rsidRPr="000141B5" w14:paraId="702121EA" w14:textId="77777777" w:rsidTr="002F7593">
        <w:trPr>
          <w:divId w:val="402724334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48A5" w14:textId="77777777" w:rsidR="00222001" w:rsidRPr="000141B5" w:rsidRDefault="00222001" w:rsidP="002220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4262 Ulaganja u računalne programe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BA959" w14:textId="7F9E740D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9925" w14:textId="777FCA88" w:rsidR="00222001" w:rsidRPr="000141B5" w:rsidRDefault="00222001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BE3CC" w14:textId="46F2E9F3" w:rsidR="00222001" w:rsidRPr="000141B5" w:rsidRDefault="0089470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F14A0" w14:textId="2D87F8AD" w:rsidR="00222001" w:rsidRPr="000141B5" w:rsidRDefault="0089470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7205B" w14:textId="6102740F" w:rsidR="00222001" w:rsidRPr="000141B5" w:rsidRDefault="00894703" w:rsidP="002220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-</w:t>
            </w:r>
          </w:p>
        </w:tc>
      </w:tr>
    </w:tbl>
    <w:p w14:paraId="151C6557" w14:textId="0EB0F211" w:rsidR="004B29D8" w:rsidRDefault="004B29D8" w:rsidP="004B29D8">
      <w:pPr>
        <w:pStyle w:val="Bezproreda"/>
        <w:jc w:val="left"/>
      </w:pPr>
      <w:r>
        <w:fldChar w:fldCharType="end"/>
      </w:r>
    </w:p>
    <w:p w14:paraId="44907078" w14:textId="74378594" w:rsidR="00052501" w:rsidRDefault="00052501" w:rsidP="008A49EE">
      <w:pPr>
        <w:pStyle w:val="Bezproreda"/>
        <w:jc w:val="left"/>
      </w:pPr>
    </w:p>
    <w:p w14:paraId="110C84BE" w14:textId="284D17CF" w:rsidR="00052501" w:rsidRDefault="00052501" w:rsidP="00F52317">
      <w:pPr>
        <w:pStyle w:val="Bezproreda"/>
        <w:ind w:left="720"/>
        <w:jc w:val="left"/>
      </w:pPr>
    </w:p>
    <w:p w14:paraId="3E9E3873" w14:textId="77777777" w:rsidR="009169D6" w:rsidRDefault="009169D6" w:rsidP="00F52317">
      <w:pPr>
        <w:pStyle w:val="Bezproreda"/>
        <w:ind w:left="720"/>
        <w:jc w:val="left"/>
      </w:pPr>
    </w:p>
    <w:p w14:paraId="2DEA5643" w14:textId="77777777" w:rsidR="009169D6" w:rsidRDefault="009169D6" w:rsidP="00F52317">
      <w:pPr>
        <w:pStyle w:val="Bezproreda"/>
        <w:ind w:left="720"/>
        <w:jc w:val="left"/>
      </w:pPr>
    </w:p>
    <w:p w14:paraId="0DC13287" w14:textId="77777777" w:rsidR="009169D6" w:rsidRDefault="009169D6" w:rsidP="00F52317">
      <w:pPr>
        <w:pStyle w:val="Bezproreda"/>
        <w:ind w:left="720"/>
        <w:jc w:val="left"/>
      </w:pPr>
    </w:p>
    <w:p w14:paraId="180520F9" w14:textId="77777777" w:rsidR="009169D6" w:rsidRDefault="009169D6" w:rsidP="00F52317">
      <w:pPr>
        <w:pStyle w:val="Bezproreda"/>
        <w:ind w:left="720"/>
        <w:jc w:val="left"/>
      </w:pPr>
    </w:p>
    <w:p w14:paraId="6CB0624A" w14:textId="77777777" w:rsidR="009169D6" w:rsidRDefault="009169D6" w:rsidP="00F52317">
      <w:pPr>
        <w:pStyle w:val="Bezproreda"/>
        <w:ind w:left="720"/>
        <w:jc w:val="left"/>
      </w:pPr>
    </w:p>
    <w:p w14:paraId="2F00D98E" w14:textId="77777777" w:rsidR="009169D6" w:rsidRDefault="009169D6" w:rsidP="00F52317">
      <w:pPr>
        <w:pStyle w:val="Bezproreda"/>
        <w:ind w:left="720"/>
        <w:jc w:val="left"/>
      </w:pPr>
    </w:p>
    <w:p w14:paraId="769BE184" w14:textId="77777777" w:rsidR="009169D6" w:rsidRDefault="009169D6" w:rsidP="00F52317">
      <w:pPr>
        <w:pStyle w:val="Bezproreda"/>
        <w:ind w:left="720"/>
        <w:jc w:val="left"/>
      </w:pPr>
    </w:p>
    <w:p w14:paraId="677149C2" w14:textId="77777777" w:rsidR="009169D6" w:rsidRDefault="009169D6" w:rsidP="00F52317">
      <w:pPr>
        <w:pStyle w:val="Bezproreda"/>
        <w:ind w:left="720"/>
        <w:jc w:val="left"/>
      </w:pPr>
    </w:p>
    <w:p w14:paraId="061E8BFD" w14:textId="77777777" w:rsidR="009169D6" w:rsidRDefault="009169D6" w:rsidP="00F52317">
      <w:pPr>
        <w:pStyle w:val="Bezproreda"/>
        <w:ind w:left="720"/>
        <w:jc w:val="left"/>
      </w:pPr>
    </w:p>
    <w:p w14:paraId="0D365B3B" w14:textId="77777777" w:rsidR="009169D6" w:rsidRDefault="009169D6" w:rsidP="00F52317">
      <w:pPr>
        <w:pStyle w:val="Bezproreda"/>
        <w:ind w:left="720"/>
        <w:jc w:val="left"/>
      </w:pPr>
    </w:p>
    <w:p w14:paraId="0B978318" w14:textId="77777777" w:rsidR="009169D6" w:rsidRDefault="009169D6" w:rsidP="00F52317">
      <w:pPr>
        <w:pStyle w:val="Bezproreda"/>
        <w:ind w:left="720"/>
        <w:jc w:val="left"/>
      </w:pPr>
    </w:p>
    <w:p w14:paraId="0EF1BB75" w14:textId="77777777" w:rsidR="009169D6" w:rsidRDefault="009169D6" w:rsidP="00F52317">
      <w:pPr>
        <w:pStyle w:val="Bezproreda"/>
        <w:ind w:left="720"/>
        <w:jc w:val="left"/>
      </w:pPr>
    </w:p>
    <w:p w14:paraId="2CDE4D6C" w14:textId="77777777" w:rsidR="009169D6" w:rsidRDefault="009169D6" w:rsidP="00F52317">
      <w:pPr>
        <w:pStyle w:val="Bezproreda"/>
        <w:ind w:left="720"/>
        <w:jc w:val="left"/>
      </w:pPr>
    </w:p>
    <w:p w14:paraId="0DC60210" w14:textId="77777777" w:rsidR="009169D6" w:rsidRDefault="009169D6" w:rsidP="00F52317">
      <w:pPr>
        <w:pStyle w:val="Bezproreda"/>
        <w:ind w:left="720"/>
        <w:jc w:val="left"/>
      </w:pPr>
    </w:p>
    <w:p w14:paraId="2DFEAFBE" w14:textId="77777777" w:rsidR="009169D6" w:rsidRDefault="009169D6" w:rsidP="00F52317">
      <w:pPr>
        <w:pStyle w:val="Bezproreda"/>
        <w:ind w:left="720"/>
        <w:jc w:val="left"/>
      </w:pPr>
    </w:p>
    <w:p w14:paraId="4E034C50" w14:textId="77777777" w:rsidR="009169D6" w:rsidRDefault="009169D6" w:rsidP="00F52317">
      <w:pPr>
        <w:pStyle w:val="Bezproreda"/>
        <w:ind w:left="720"/>
        <w:jc w:val="left"/>
      </w:pPr>
    </w:p>
    <w:p w14:paraId="063E9E82" w14:textId="77777777" w:rsidR="009169D6" w:rsidRDefault="009169D6" w:rsidP="00F52317">
      <w:pPr>
        <w:pStyle w:val="Bezproreda"/>
        <w:ind w:left="720"/>
        <w:jc w:val="left"/>
      </w:pPr>
    </w:p>
    <w:p w14:paraId="30972F2D" w14:textId="32F9960F" w:rsidR="00052501" w:rsidRDefault="00052501" w:rsidP="00F52317">
      <w:pPr>
        <w:pStyle w:val="Bezproreda"/>
        <w:ind w:left="720"/>
        <w:jc w:val="left"/>
      </w:pPr>
    </w:p>
    <w:p w14:paraId="6E02D547" w14:textId="0A1DFCB5" w:rsidR="00376616" w:rsidRPr="00376616" w:rsidRDefault="00376616" w:rsidP="00376616">
      <w:pPr>
        <w:pStyle w:val="Odlomakpopisa"/>
        <w:numPr>
          <w:ilvl w:val="2"/>
          <w:numId w:val="15"/>
        </w:numPr>
        <w:spacing w:line="259" w:lineRule="auto"/>
        <w:jc w:val="both"/>
        <w:rPr>
          <w:rFonts w:ascii="Arial" w:hAnsi="Arial" w:cs="Arial"/>
          <w:szCs w:val="24"/>
        </w:rPr>
      </w:pPr>
      <w:r w:rsidRPr="00376616">
        <w:rPr>
          <w:rFonts w:ascii="Arial" w:hAnsi="Arial" w:cs="Arial"/>
          <w:szCs w:val="24"/>
        </w:rPr>
        <w:t>Prihodi i rashodi prema izvorima financiranja</w:t>
      </w:r>
    </w:p>
    <w:p w14:paraId="25E00DD2" w14:textId="167EE63E" w:rsidR="00052501" w:rsidRDefault="00052501" w:rsidP="00F52317">
      <w:pPr>
        <w:pStyle w:val="Bezproreda"/>
        <w:ind w:left="720"/>
        <w:jc w:val="left"/>
      </w:pPr>
    </w:p>
    <w:p w14:paraId="1D5384F5" w14:textId="282079D5" w:rsidR="00C771EB" w:rsidRDefault="00C771EB" w:rsidP="00F52317">
      <w:pPr>
        <w:pStyle w:val="Bezproreda"/>
        <w:ind w:left="720"/>
        <w:jc w:val="left"/>
      </w:pPr>
    </w:p>
    <w:p w14:paraId="00EE9728" w14:textId="77777777" w:rsidR="00C771EB" w:rsidRDefault="00C771EB" w:rsidP="00F52317">
      <w:pPr>
        <w:pStyle w:val="Bezproreda"/>
        <w:ind w:left="720"/>
        <w:jc w:val="left"/>
      </w:pPr>
    </w:p>
    <w:p w14:paraId="5B9AAAFC" w14:textId="579E71D1" w:rsidR="00052501" w:rsidRDefault="00052501" w:rsidP="00F52317">
      <w:pPr>
        <w:pStyle w:val="Bezproreda"/>
        <w:ind w:left="720"/>
        <w:jc w:val="left"/>
      </w:pPr>
    </w:p>
    <w:p w14:paraId="1E995B02" w14:textId="47DACE2A" w:rsidR="00052501" w:rsidRDefault="004B29D8" w:rsidP="00F52317">
      <w:pPr>
        <w:pStyle w:val="Bezproreda"/>
        <w:ind w:left="720"/>
        <w:jc w:val="left"/>
      </w:pPr>
      <w:r>
        <w:t xml:space="preserve"> </w:t>
      </w:r>
    </w:p>
    <w:p w14:paraId="3BE4771C" w14:textId="5C089674" w:rsidR="00052501" w:rsidRPr="00B5327A" w:rsidRDefault="006E6911" w:rsidP="00052501">
      <w:pPr>
        <w:pStyle w:val="Bezproreda"/>
        <w:ind w:left="720"/>
        <w:jc w:val="center"/>
        <w:rPr>
          <w:b/>
        </w:rPr>
      </w:pPr>
      <w:r>
        <w:rPr>
          <w:b/>
        </w:rPr>
        <w:t>Izvještaj o p</w:t>
      </w:r>
      <w:r w:rsidR="00052501" w:rsidRPr="00B5327A">
        <w:rPr>
          <w:b/>
        </w:rPr>
        <w:t>rihodi</w:t>
      </w:r>
      <w:r>
        <w:rPr>
          <w:b/>
        </w:rPr>
        <w:t>ma</w:t>
      </w:r>
      <w:r w:rsidR="00052501" w:rsidRPr="00B5327A">
        <w:rPr>
          <w:b/>
        </w:rPr>
        <w:t xml:space="preserve"> i rashodi</w:t>
      </w:r>
      <w:r w:rsidR="00911BD7">
        <w:rPr>
          <w:b/>
        </w:rPr>
        <w:t>ma</w:t>
      </w:r>
      <w:r w:rsidR="00052501" w:rsidRPr="00B5327A">
        <w:rPr>
          <w:b/>
        </w:rPr>
        <w:t xml:space="preserve"> prema izvorima financiranja</w:t>
      </w:r>
    </w:p>
    <w:p w14:paraId="0BC25FAE" w14:textId="517274E9" w:rsidR="00052501" w:rsidRDefault="00052501" w:rsidP="00052501">
      <w:pPr>
        <w:pStyle w:val="Bezproreda"/>
        <w:ind w:left="720"/>
        <w:jc w:val="center"/>
      </w:pPr>
      <w:r>
        <w:t xml:space="preserve">Za razdoblje 1. siječnja </w:t>
      </w:r>
      <w:r w:rsidR="006E6911">
        <w:t>202</w:t>
      </w:r>
      <w:r w:rsidR="008A49EE">
        <w:t>5</w:t>
      </w:r>
      <w:r>
        <w:t xml:space="preserve">. do </w:t>
      </w:r>
      <w:r w:rsidR="006E6911">
        <w:t>3</w:t>
      </w:r>
      <w:r w:rsidR="00911BD7">
        <w:t>1</w:t>
      </w:r>
      <w:r w:rsidR="006E6911">
        <w:t>.</w:t>
      </w:r>
      <w:r w:rsidR="00911BD7">
        <w:t>prosinca</w:t>
      </w:r>
      <w:r w:rsidR="006E6911">
        <w:t xml:space="preserve"> 202</w:t>
      </w:r>
      <w:r w:rsidR="008A49EE">
        <w:t>5</w:t>
      </w:r>
      <w:r>
        <w:t>. godine</w:t>
      </w:r>
    </w:p>
    <w:p w14:paraId="0C7DF3AC" w14:textId="56F9BE4D" w:rsidR="00052501" w:rsidRDefault="00052501" w:rsidP="00F52317">
      <w:pPr>
        <w:pStyle w:val="Bezproreda"/>
        <w:ind w:left="720"/>
        <w:jc w:val="left"/>
      </w:pPr>
    </w:p>
    <w:p w14:paraId="6BE522EB" w14:textId="0EE6F30A" w:rsidR="000141B5" w:rsidRDefault="00BD4D93" w:rsidP="00F52317">
      <w:pPr>
        <w:pStyle w:val="Bezproreda"/>
        <w:ind w:left="720"/>
        <w:jc w:val="left"/>
        <w:rPr>
          <w:rFonts w:asciiTheme="minorHAnsi" w:hAnsiTheme="minorHAnsi"/>
          <w:sz w:val="22"/>
        </w:rPr>
      </w:pPr>
      <w:r>
        <w:fldChar w:fldCharType="begin"/>
      </w:r>
      <w:r>
        <w:instrText xml:space="preserve"> LINK </w:instrText>
      </w:r>
      <w:r w:rsidR="000141B5">
        <w:instrText xml:space="preserve">Excel.Sheet.8 "D:\\My documents\\Rita Općina\\Polugodišni izvještaj oizvršenju Proračuna za 2024\\Ispis izvršenja proračuna -VLAŠKIPUTI.xls" "Prihodi i rashodi prema izv.OK !R14C1:R38C7" </w:instrText>
      </w:r>
      <w:r>
        <w:instrText xml:space="preserve">\a \f 4 \h  \* MERGEFORMAT </w:instrText>
      </w:r>
      <w:r>
        <w:fldChar w:fldCharType="separate"/>
      </w:r>
    </w:p>
    <w:tbl>
      <w:tblPr>
        <w:tblW w:w="9948" w:type="dxa"/>
        <w:tblLook w:val="04A0" w:firstRow="1" w:lastRow="0" w:firstColumn="1" w:lastColumn="0" w:noHBand="0" w:noVBand="1"/>
      </w:tblPr>
      <w:tblGrid>
        <w:gridCol w:w="4815"/>
        <w:gridCol w:w="1144"/>
        <w:gridCol w:w="1117"/>
        <w:gridCol w:w="1099"/>
        <w:gridCol w:w="845"/>
        <w:gridCol w:w="1028"/>
      </w:tblGrid>
      <w:tr w:rsidR="000141B5" w:rsidRPr="000141B5" w14:paraId="2E1D0D1C" w14:textId="77777777" w:rsidTr="009F6091">
        <w:trPr>
          <w:divId w:val="137916503"/>
          <w:trHeight w:val="48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C7087F" w14:textId="02FAD5B5" w:rsidR="000141B5" w:rsidRPr="009C7453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Brojčana oznaka i naziv izvora financiranja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9DD211" w14:textId="7DEE7788" w:rsidR="000141B5" w:rsidRPr="000141B5" w:rsidRDefault="009F6091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Izvršenje                       1-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/202</w:t>
            </w:r>
            <w:r w:rsidR="007F1F0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90BF86" w14:textId="192BC4B0" w:rsidR="000141B5" w:rsidRPr="000141B5" w:rsidRDefault="007F1F0C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I.Rebalans 2025.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10605A" w14:textId="15BB4D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Izvršenje           1-</w:t>
            </w:r>
            <w:r w:rsidR="009F609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/202</w:t>
            </w:r>
            <w:r w:rsidR="007F1F0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F4D5375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Indeks  3/1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878599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Indeks  3/2</w:t>
            </w:r>
          </w:p>
        </w:tc>
      </w:tr>
      <w:tr w:rsidR="000141B5" w:rsidRPr="000141B5" w14:paraId="58A062BF" w14:textId="77777777" w:rsidTr="009F6091">
        <w:trPr>
          <w:divId w:val="137916503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B8CAC70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PRIHODI I RASHODI PREMA IZVORIMA FINANCIRANJA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C0002E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D3C718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89AA26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516A1E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60D38B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</w:t>
            </w:r>
          </w:p>
        </w:tc>
      </w:tr>
      <w:tr w:rsidR="000141B5" w:rsidRPr="000141B5" w14:paraId="7C8C2100" w14:textId="77777777" w:rsidTr="007F1F0C">
        <w:trPr>
          <w:divId w:val="137916503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F91EEB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 xml:space="preserve"> SVEUKUPNI PRIHODI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3F23D591" w14:textId="2003AF7F" w:rsidR="000141B5" w:rsidRPr="000141B5" w:rsidRDefault="007F1F0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60.235,37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5CC4FE5B" w14:textId="561CC86F" w:rsidR="000141B5" w:rsidRPr="000141B5" w:rsidRDefault="0002651D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70.359,00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0C5ECB5E" w14:textId="02914CA1" w:rsidR="000141B5" w:rsidRPr="000141B5" w:rsidRDefault="002D315A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62.643,74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2BAC949D" w14:textId="5F1B8151" w:rsidR="000141B5" w:rsidRPr="000141B5" w:rsidRDefault="00AA01E1" w:rsidP="003C2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104,02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16CE1F1C" w14:textId="3C138C6F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89,08</w:t>
            </w:r>
          </w:p>
        </w:tc>
      </w:tr>
      <w:tr w:rsidR="000141B5" w:rsidRPr="000141B5" w14:paraId="52BBD6DE" w14:textId="77777777" w:rsidTr="007F1F0C">
        <w:trPr>
          <w:divId w:val="137916503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DB072B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Izvor 1. OPĆI PRIHODI I PRIMICI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BAED45D" w14:textId="0930D207" w:rsidR="000141B5" w:rsidRPr="000141B5" w:rsidRDefault="007F1F0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46.876,04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D15C229" w14:textId="5D743F5D" w:rsidR="000141B5" w:rsidRPr="000141B5" w:rsidRDefault="0002651D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56.076,00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6C67896" w14:textId="35889144" w:rsidR="000141B5" w:rsidRPr="000141B5" w:rsidRDefault="00E25A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51.597,73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70CD63B" w14:textId="225F7B10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110,10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28350B4" w14:textId="2E7AAB5A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92,01</w:t>
            </w:r>
          </w:p>
        </w:tc>
      </w:tr>
      <w:tr w:rsidR="000141B5" w:rsidRPr="000141B5" w14:paraId="4DDE91EF" w14:textId="77777777" w:rsidTr="007F1F0C">
        <w:trPr>
          <w:divId w:val="137916503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2ED573" w14:textId="6CDE0E8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Izvor 1.</w:t>
            </w:r>
            <w:r w:rsidR="0002651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 OSTALI OPĆI PRIMICI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EBF453E" w14:textId="6419B82F" w:rsidR="000141B5" w:rsidRPr="000141B5" w:rsidRDefault="007F1F0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46</w:t>
            </w:r>
            <w:r w:rsidR="00AB4CB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876,04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AD0124C" w14:textId="58B8A3E3" w:rsidR="000141B5" w:rsidRPr="000141B5" w:rsidRDefault="0002651D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56.076</w:t>
            </w:r>
            <w:r w:rsidR="00BB55A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0B5ABEFC" w14:textId="3144A115" w:rsidR="000141B5" w:rsidRPr="000141B5" w:rsidRDefault="00E25A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51.597,73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35D8710" w14:textId="433425B8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110,10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6134F86" w14:textId="770D92AB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92,01</w:t>
            </w:r>
          </w:p>
        </w:tc>
      </w:tr>
      <w:tr w:rsidR="000141B5" w:rsidRPr="000141B5" w14:paraId="0A6FCFAF" w14:textId="77777777" w:rsidTr="007F1F0C">
        <w:trPr>
          <w:divId w:val="137916503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9157E3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Izvor 3. VLASTITI PRIHODI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8E5860A" w14:textId="022164E8" w:rsidR="000141B5" w:rsidRPr="000141B5" w:rsidRDefault="007F1F0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3,93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8542118" w14:textId="47A1CAFA" w:rsidR="000141B5" w:rsidRPr="000141B5" w:rsidRDefault="0002651D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E869266" w14:textId="242785EF" w:rsidR="000141B5" w:rsidRPr="000141B5" w:rsidRDefault="00985F3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10,56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BAB367D" w14:textId="4A753EBD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268,71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2560E50" w14:textId="0EF4ACBC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-</w:t>
            </w:r>
          </w:p>
        </w:tc>
      </w:tr>
      <w:tr w:rsidR="000141B5" w:rsidRPr="000141B5" w14:paraId="61C59CEA" w14:textId="77777777" w:rsidTr="007F1F0C">
        <w:trPr>
          <w:divId w:val="137916503"/>
          <w:trHeight w:val="52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E7F1E06" w14:textId="77777777" w:rsidR="000141B5" w:rsidRPr="009C7453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</w:pPr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>Izvor 3.2. VLASTITI PRIHODI PRORAČUNSKOG KORISNIKA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DAFC7E2" w14:textId="5628C862" w:rsidR="000141B5" w:rsidRPr="000141B5" w:rsidRDefault="007F1F0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3,93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0B94251D" w14:textId="634700E1" w:rsidR="000141B5" w:rsidRPr="000141B5" w:rsidRDefault="0002651D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4D606E53" w14:textId="49F929A1" w:rsidR="000141B5" w:rsidRPr="000141B5" w:rsidRDefault="00AB4CBF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10,56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0775471D" w14:textId="5E0C4F2C" w:rsidR="000141B5" w:rsidRPr="000141B5" w:rsidRDefault="00AB4CBF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268,7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935D8A9" w14:textId="5B935421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-</w:t>
            </w:r>
          </w:p>
        </w:tc>
      </w:tr>
      <w:tr w:rsidR="000141B5" w:rsidRPr="000141B5" w14:paraId="189CD37A" w14:textId="77777777" w:rsidTr="007F1F0C">
        <w:trPr>
          <w:divId w:val="137916503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21AED2" w14:textId="77777777" w:rsidR="000141B5" w:rsidRPr="009C7453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</w:pPr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>Izvor 4. PRIHODI ZA POSEBNE NAMJENE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83CAB1F" w14:textId="5C1725A3" w:rsidR="000141B5" w:rsidRPr="000141B5" w:rsidRDefault="007F1F0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2.255,40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A7D8F6A" w14:textId="1C12C8B7" w:rsidR="000141B5" w:rsidRPr="000141B5" w:rsidRDefault="0002651D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1.690,00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DF3B676" w14:textId="2FDD052F" w:rsidR="000141B5" w:rsidRPr="000141B5" w:rsidRDefault="009A46D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2.593,40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9ABCEB9" w14:textId="4F3139F4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</w:t>
            </w:r>
            <w:r w:rsidR="007F08B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F263A71" w14:textId="378BFAF2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153,43</w:t>
            </w:r>
          </w:p>
        </w:tc>
      </w:tr>
      <w:tr w:rsidR="000141B5" w:rsidRPr="000141B5" w14:paraId="354D7E99" w14:textId="77777777" w:rsidTr="007F1F0C">
        <w:trPr>
          <w:divId w:val="137916503"/>
          <w:trHeight w:val="52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3699B4D" w14:textId="77777777" w:rsidR="000141B5" w:rsidRPr="009C7453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</w:pPr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>Izvor 4.4. PRIHODI ZA POSEBNE NAMJENE PRORAČUNSKOG KORISNIKA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577CAB7" w14:textId="7F0BB6C7" w:rsidR="000141B5" w:rsidRPr="000141B5" w:rsidRDefault="007F1F0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2.255,40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FA89DFB" w14:textId="730B5B66" w:rsidR="000141B5" w:rsidRPr="000141B5" w:rsidRDefault="0002651D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1.690,00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2C1754E" w14:textId="454BED42" w:rsidR="000141B5" w:rsidRPr="000141B5" w:rsidRDefault="00985F3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1.786,00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02BE2A59" w14:textId="7B5363DF" w:rsidR="000141B5" w:rsidRPr="000141B5" w:rsidRDefault="00985F3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79,19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546B594B" w14:textId="18143A7A" w:rsidR="000141B5" w:rsidRPr="000141B5" w:rsidRDefault="00985F3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105,68</w:t>
            </w:r>
          </w:p>
        </w:tc>
      </w:tr>
      <w:tr w:rsidR="000141B5" w:rsidRPr="000141B5" w14:paraId="3B47F401" w14:textId="77777777" w:rsidTr="007F1F0C">
        <w:trPr>
          <w:divId w:val="137916503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FE70B8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Izvor 5. POMOĆI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4374B70" w14:textId="1CAE5060" w:rsidR="000141B5" w:rsidRPr="000141B5" w:rsidRDefault="007F1F0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11.100,00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855E69F" w14:textId="12FCBD93" w:rsidR="000141B5" w:rsidRPr="000141B5" w:rsidRDefault="0002651D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12.593,00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27D40EC" w14:textId="0F0A2EF0" w:rsidR="000141B5" w:rsidRPr="000141B5" w:rsidRDefault="00985F3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13.256,61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A306B6F" w14:textId="348E8445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119,44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E966907" w14:textId="316605AD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105,27</w:t>
            </w:r>
          </w:p>
        </w:tc>
      </w:tr>
      <w:tr w:rsidR="000141B5" w:rsidRPr="000141B5" w14:paraId="5A419A6F" w14:textId="77777777" w:rsidTr="007F1F0C">
        <w:trPr>
          <w:divId w:val="137916503"/>
          <w:trHeight w:val="52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268A89F" w14:textId="77777777" w:rsidR="000141B5" w:rsidRPr="009C7453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Izvor 5.2. TEKUĆE POMOĆI IZ PRORAČUNA PRORAČUNSKOG KORISNIKA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419C8EF" w14:textId="41C83EDB" w:rsidR="000141B5" w:rsidRPr="000141B5" w:rsidRDefault="007F1F0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9.100,00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C3E4540" w14:textId="1B9A1BC4" w:rsidR="000141B5" w:rsidRPr="000141B5" w:rsidRDefault="0002651D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10.650,00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BF38C94" w14:textId="33F91DC6" w:rsidR="000141B5" w:rsidRPr="000141B5" w:rsidRDefault="00985F3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10.650,00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0964EBED" w14:textId="085E0695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117,03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FBB949F" w14:textId="48D646DB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100,00</w:t>
            </w:r>
          </w:p>
        </w:tc>
      </w:tr>
      <w:tr w:rsidR="000141B5" w:rsidRPr="000141B5" w14:paraId="36BC2848" w14:textId="77777777" w:rsidTr="007F1F0C">
        <w:trPr>
          <w:divId w:val="137916503"/>
          <w:trHeight w:val="52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1CE8C23" w14:textId="3356A426" w:rsidR="000141B5" w:rsidRPr="009C7453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</w:pPr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>Izvor 5.4.</w:t>
            </w:r>
            <w:r w:rsidR="0002651D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 xml:space="preserve">3 </w:t>
            </w:r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>KAPITALNE POMOĆI PRORAČUNSKOG KORISNIKA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0BE2DF34" w14:textId="14A7A2CB" w:rsidR="000141B5" w:rsidRPr="000141B5" w:rsidRDefault="007F1F0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999821E" w14:textId="38F644BB" w:rsidR="000141B5" w:rsidRPr="000141B5" w:rsidRDefault="0002651D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1.943,00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1218387" w14:textId="210C7957" w:rsidR="000141B5" w:rsidRPr="000141B5" w:rsidRDefault="00985F3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2.606,61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DBFA895" w14:textId="27F425D7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130,33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CB35476" w14:textId="68E83E96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134,15</w:t>
            </w:r>
          </w:p>
        </w:tc>
      </w:tr>
      <w:tr w:rsidR="000141B5" w:rsidRPr="000141B5" w14:paraId="0237C981" w14:textId="77777777" w:rsidTr="007F1F0C">
        <w:trPr>
          <w:divId w:val="137916503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1DE8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23FA0" w14:textId="4D243445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F97CB" w14:textId="0EE44F5A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F2933" w14:textId="7E649E4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C7D71" w14:textId="6F2F2328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531E3" w14:textId="1FC1F70B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141B5" w:rsidRPr="000141B5" w14:paraId="77EDCB18" w14:textId="77777777" w:rsidTr="007F1F0C">
        <w:trPr>
          <w:divId w:val="137916503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3A0CE4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 xml:space="preserve"> SVEUKUPNI RASHODI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1B0D550F" w14:textId="00815C05" w:rsidR="000141B5" w:rsidRPr="000141B5" w:rsidRDefault="007F1F0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60,240,36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6984DCD7" w14:textId="6741A32A" w:rsidR="000141B5" w:rsidRPr="000141B5" w:rsidRDefault="002D315A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72.955,40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29190D62" w14:textId="12EFA628" w:rsidR="000141B5" w:rsidRPr="000141B5" w:rsidRDefault="002D315A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67.182,11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412323F2" w14:textId="665EAFF7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111,53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7C26CF5B" w14:textId="47CCAF57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92,09</w:t>
            </w:r>
          </w:p>
        </w:tc>
      </w:tr>
      <w:tr w:rsidR="000141B5" w:rsidRPr="000141B5" w14:paraId="072262F3" w14:textId="77777777" w:rsidTr="007F1F0C">
        <w:trPr>
          <w:divId w:val="137916503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954D6E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Izvor 1. OPĆI PRIHODI I PRIMICI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2C85C97" w14:textId="4A0CAE95" w:rsidR="000141B5" w:rsidRPr="000141B5" w:rsidRDefault="007F1F0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46.876,04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B94C86D" w14:textId="3B2736C3" w:rsidR="000141B5" w:rsidRPr="000141B5" w:rsidRDefault="0002651D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56.076,00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5D9C096" w14:textId="1991BCF0" w:rsidR="000141B5" w:rsidRPr="000141B5" w:rsidRDefault="00E25A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51.597,73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DBDFCCF" w14:textId="60B5A38A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110,10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C983B29" w14:textId="5C2CA18B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92,01</w:t>
            </w:r>
          </w:p>
        </w:tc>
      </w:tr>
      <w:tr w:rsidR="000141B5" w:rsidRPr="000141B5" w14:paraId="50CEECE6" w14:textId="77777777" w:rsidTr="007F1F0C">
        <w:trPr>
          <w:divId w:val="137916503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3AA997" w14:textId="63675B8D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Izvor 1.</w:t>
            </w:r>
            <w:r w:rsidR="0002651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 OSTALI OPĆI PRIMICI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5E88F13A" w14:textId="290E4ED0" w:rsidR="000141B5" w:rsidRPr="000141B5" w:rsidRDefault="007F1F0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46.876,04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469B2313" w14:textId="2A251F01" w:rsidR="000141B5" w:rsidRPr="000141B5" w:rsidRDefault="0002651D" w:rsidP="003507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 56.076,00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489D640C" w14:textId="2D78049E" w:rsidR="000141B5" w:rsidRPr="000141B5" w:rsidRDefault="00E25A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51.597,73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5913F986" w14:textId="7D9897EC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110,10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E58695C" w14:textId="3FE9E7E9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92,01</w:t>
            </w:r>
          </w:p>
        </w:tc>
      </w:tr>
      <w:tr w:rsidR="000141B5" w:rsidRPr="000141B5" w14:paraId="08249774" w14:textId="77777777" w:rsidTr="007F1F0C">
        <w:trPr>
          <w:divId w:val="137916503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6324C6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Izvor 3. VLASTITI PRIHODI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F868503" w14:textId="6A829415" w:rsidR="000141B5" w:rsidRPr="000141B5" w:rsidRDefault="007F1F0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6A9B00F" w14:textId="45679B52" w:rsidR="000141B5" w:rsidRPr="000141B5" w:rsidRDefault="0097435A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6D425D5" w14:textId="1501689F" w:rsidR="000141B5" w:rsidRPr="000141B5" w:rsidRDefault="00792F89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3BC5C47" w14:textId="761E2CA9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C2D1252" w14:textId="7EA435BE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-</w:t>
            </w:r>
          </w:p>
        </w:tc>
      </w:tr>
      <w:tr w:rsidR="000141B5" w:rsidRPr="000141B5" w14:paraId="1E1D9AC9" w14:textId="77777777" w:rsidTr="007F1F0C">
        <w:trPr>
          <w:divId w:val="137916503"/>
          <w:trHeight w:val="52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ED2F170" w14:textId="77777777" w:rsidR="000141B5" w:rsidRPr="009C7453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</w:pPr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>Izvor 3.2. VLASTITI PRIHODI PRORAČUNSKOG KORISNIKA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D854DA5" w14:textId="2E77C7AA" w:rsidR="000141B5" w:rsidRPr="000141B5" w:rsidRDefault="007F1F0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E00ABCC" w14:textId="4AAE2906" w:rsidR="000141B5" w:rsidRPr="000141B5" w:rsidRDefault="0097435A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ACBB0DC" w14:textId="279DCCF2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34CDC95" w14:textId="56E30C8A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6B73949" w14:textId="7CAEBF05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-</w:t>
            </w:r>
          </w:p>
        </w:tc>
      </w:tr>
      <w:tr w:rsidR="000141B5" w:rsidRPr="000141B5" w14:paraId="0A3FE8F6" w14:textId="77777777" w:rsidTr="007F1F0C">
        <w:trPr>
          <w:divId w:val="137916503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C7CEC2" w14:textId="77777777" w:rsidR="000141B5" w:rsidRPr="009C7453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</w:pPr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>Izvor 4. PRIHODI ZA POSEBNE NAMJENE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C53DC17" w14:textId="43D3584D" w:rsidR="000141B5" w:rsidRPr="000141B5" w:rsidRDefault="007F1F0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1.662,89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82F42AE" w14:textId="730BBB92" w:rsidR="000141B5" w:rsidRPr="000141B5" w:rsidRDefault="0097435A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4.283,</w:t>
            </w:r>
            <w:r w:rsidR="002D31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81E15BB" w14:textId="1BD7D800" w:rsidR="000141B5" w:rsidRPr="000141B5" w:rsidRDefault="007E4BC7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2.327,77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5347EF9" w14:textId="6E23984D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140,02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9F800B5" w14:textId="660B502D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54,34</w:t>
            </w:r>
          </w:p>
        </w:tc>
      </w:tr>
      <w:tr w:rsidR="000141B5" w:rsidRPr="000141B5" w14:paraId="7D556628" w14:textId="77777777" w:rsidTr="007F1F0C">
        <w:trPr>
          <w:divId w:val="137916503"/>
          <w:trHeight w:val="52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0D8EA9A" w14:textId="77777777" w:rsidR="000141B5" w:rsidRPr="009C7453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</w:pPr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>Izvor 4.4. PRIHODI ZA POSEBNE NAMJENE PRORAČUNSKOG KORISNIKA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CACE97E" w14:textId="1E38A79E" w:rsidR="000141B5" w:rsidRPr="000141B5" w:rsidRDefault="007F1F0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1.662,89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00864E8F" w14:textId="258C765C" w:rsidR="000141B5" w:rsidRPr="000141B5" w:rsidRDefault="0097435A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4.283,</w:t>
            </w:r>
            <w:r w:rsidR="002D31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B8077E0" w14:textId="0AEC90B3" w:rsidR="000141B5" w:rsidRPr="000141B5" w:rsidRDefault="007E4BC7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2.327,77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4A83A17F" w14:textId="30EDF7AF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140,02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6D75144" w14:textId="5B45D23B" w:rsidR="000141B5" w:rsidRPr="000141B5" w:rsidRDefault="00AA01E1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54,34</w:t>
            </w:r>
          </w:p>
        </w:tc>
      </w:tr>
      <w:tr w:rsidR="007F1F0C" w:rsidRPr="000141B5" w14:paraId="14EEB077" w14:textId="77777777" w:rsidTr="007F1F0C">
        <w:trPr>
          <w:divId w:val="137916503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3CFF2C" w14:textId="77777777" w:rsidR="007F1F0C" w:rsidRPr="000141B5" w:rsidRDefault="007F1F0C" w:rsidP="007F1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Izvor 5. POMOĆI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F161187" w14:textId="14F43784" w:rsidR="007F1F0C" w:rsidRPr="000141B5" w:rsidRDefault="007F1F0C" w:rsidP="007F1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11.100,00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CAB3A04" w14:textId="5D0ABECE" w:rsidR="007F1F0C" w:rsidRPr="000141B5" w:rsidRDefault="0097435A" w:rsidP="007F1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12.593,00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FDD7A5A" w14:textId="5EAECE04" w:rsidR="007F1F0C" w:rsidRPr="000141B5" w:rsidRDefault="007E4BC7" w:rsidP="007F1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13.256,61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EABB2CD" w14:textId="38A8C2AE" w:rsidR="007F1F0C" w:rsidRPr="000141B5" w:rsidRDefault="00AA01E1" w:rsidP="007F1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119,44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BF72FB9" w14:textId="6CC39C1F" w:rsidR="007F1F0C" w:rsidRPr="000141B5" w:rsidRDefault="00AA01E1" w:rsidP="007F1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105,27</w:t>
            </w:r>
          </w:p>
        </w:tc>
      </w:tr>
      <w:tr w:rsidR="007F1F0C" w:rsidRPr="000141B5" w14:paraId="6D90B4E7" w14:textId="77777777" w:rsidTr="007F1F0C">
        <w:trPr>
          <w:divId w:val="137916503"/>
          <w:trHeight w:val="52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F47A0F" w14:textId="77777777" w:rsidR="007F1F0C" w:rsidRPr="009C7453" w:rsidRDefault="007F1F0C" w:rsidP="007F1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Izvor 5.2. TEKUĆE POMOĆI IZ PRORAČUNA PRORAČUNSKOG KORISNIKA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4FB4718" w14:textId="132CB8A0" w:rsidR="007F1F0C" w:rsidRPr="000141B5" w:rsidRDefault="007F1F0C" w:rsidP="007F1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9.100,00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6E36604" w14:textId="245988CE" w:rsidR="007F1F0C" w:rsidRPr="000141B5" w:rsidRDefault="0097435A" w:rsidP="007F1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10.650,00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CCDA2DC" w14:textId="4A6A9DBD" w:rsidR="007F1F0C" w:rsidRPr="000141B5" w:rsidRDefault="007E4BC7" w:rsidP="007E4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10.650,00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7EDB1FB" w14:textId="6D8CE23A" w:rsidR="007F1F0C" w:rsidRPr="000141B5" w:rsidRDefault="00AA01E1" w:rsidP="007F1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117,03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4D1BEC7" w14:textId="5058D63B" w:rsidR="007F1F0C" w:rsidRPr="000141B5" w:rsidRDefault="00AA01E1" w:rsidP="007F1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100,00</w:t>
            </w:r>
          </w:p>
        </w:tc>
      </w:tr>
      <w:tr w:rsidR="007F1F0C" w:rsidRPr="000141B5" w14:paraId="22718942" w14:textId="77777777" w:rsidTr="007F1F0C">
        <w:trPr>
          <w:divId w:val="137916503"/>
          <w:trHeight w:val="52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378EF3D" w14:textId="77777777" w:rsidR="007F1F0C" w:rsidRPr="009C7453" w:rsidRDefault="007F1F0C" w:rsidP="007F1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</w:pPr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>Izvor 5.4. KAPITALNE POMOĆI PRORAČUNSKOG KORISNIKA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17ED19A" w14:textId="295F55A3" w:rsidR="007F1F0C" w:rsidRPr="000141B5" w:rsidRDefault="007F1F0C" w:rsidP="007F1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93BBDA3" w14:textId="54FD4736" w:rsidR="007F1F0C" w:rsidRPr="000141B5" w:rsidRDefault="0097435A" w:rsidP="007F1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1.943,00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3E6F500" w14:textId="58165618" w:rsidR="007F1F0C" w:rsidRPr="000141B5" w:rsidRDefault="000B2436" w:rsidP="007F1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2.606,61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E51D239" w14:textId="4B97BA58" w:rsidR="007F1F0C" w:rsidRPr="000141B5" w:rsidRDefault="000B2436" w:rsidP="007F1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13</w:t>
            </w:r>
            <w:r w:rsidR="00AA01E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0,33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3FAAAA6" w14:textId="599474EC" w:rsidR="007F1F0C" w:rsidRPr="000141B5" w:rsidRDefault="00AA01E1" w:rsidP="007F1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134,15</w:t>
            </w:r>
          </w:p>
        </w:tc>
      </w:tr>
      <w:tr w:rsidR="007F1F0C" w:rsidRPr="000141B5" w14:paraId="5E55B0A2" w14:textId="77777777" w:rsidTr="007F1F0C">
        <w:trPr>
          <w:divId w:val="137916503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AB727A" w14:textId="77777777" w:rsidR="007F1F0C" w:rsidRPr="000141B5" w:rsidRDefault="007F1F0C" w:rsidP="007F1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Izvor 9. PRENESENA SREDSTVA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453B9CA" w14:textId="2C166509" w:rsidR="007F1F0C" w:rsidRPr="000141B5" w:rsidRDefault="007F1F0C" w:rsidP="007F1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B0B63CE" w14:textId="34684692" w:rsidR="007F1F0C" w:rsidRPr="000141B5" w:rsidRDefault="0097435A" w:rsidP="007F1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F00C57A" w14:textId="1C2B2AA9" w:rsidR="007F1F0C" w:rsidRPr="000141B5" w:rsidRDefault="007F1F0C" w:rsidP="007F1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BA4CC09" w14:textId="20A79532" w:rsidR="007F1F0C" w:rsidRPr="000141B5" w:rsidRDefault="00AA01E1" w:rsidP="007F1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C3452B4" w14:textId="2F566684" w:rsidR="007F1F0C" w:rsidRPr="000141B5" w:rsidRDefault="00AA01E1" w:rsidP="007F1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-</w:t>
            </w:r>
          </w:p>
        </w:tc>
      </w:tr>
      <w:tr w:rsidR="007F1F0C" w:rsidRPr="000141B5" w14:paraId="03D73B55" w14:textId="77777777" w:rsidTr="007F1F0C">
        <w:trPr>
          <w:divId w:val="137916503"/>
          <w:trHeight w:val="52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866309D" w14:textId="77777777" w:rsidR="007F1F0C" w:rsidRPr="000141B5" w:rsidRDefault="007F1F0C" w:rsidP="007F1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Izvor 9.7. VIŠAK PRIHODA POSLOVANJA - VLAŠKI PUTI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363B0E2" w14:textId="7A3949CD" w:rsidR="007F1F0C" w:rsidRPr="000141B5" w:rsidRDefault="007F1F0C" w:rsidP="007F1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601,43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42858A45" w14:textId="45B444A4" w:rsidR="007F1F0C" w:rsidRPr="000141B5" w:rsidRDefault="0097435A" w:rsidP="007F1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8164D70" w14:textId="3F1064F8" w:rsidR="007F1F0C" w:rsidRPr="000141B5" w:rsidRDefault="007F1F0C" w:rsidP="007F1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AA58965" w14:textId="58135E54" w:rsidR="007F1F0C" w:rsidRPr="000141B5" w:rsidRDefault="00AA01E1" w:rsidP="007F1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B94BB03" w14:textId="7A169B12" w:rsidR="007F1F0C" w:rsidRPr="000141B5" w:rsidRDefault="00AA01E1" w:rsidP="007F1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-</w:t>
            </w:r>
          </w:p>
        </w:tc>
      </w:tr>
    </w:tbl>
    <w:p w14:paraId="4FF43153" w14:textId="396C7894" w:rsidR="00B83F34" w:rsidRDefault="00BD4D93" w:rsidP="00F52317">
      <w:pPr>
        <w:pStyle w:val="Bezproreda"/>
        <w:ind w:left="720"/>
        <w:jc w:val="left"/>
      </w:pPr>
      <w:r>
        <w:fldChar w:fldCharType="end"/>
      </w:r>
    </w:p>
    <w:p w14:paraId="25B958DB" w14:textId="52929589" w:rsidR="00BD4D93" w:rsidRDefault="00BD4D93" w:rsidP="002F7593">
      <w:pPr>
        <w:pStyle w:val="Bezproreda"/>
        <w:jc w:val="left"/>
      </w:pPr>
    </w:p>
    <w:p w14:paraId="1E4FA216" w14:textId="7EBA10CA" w:rsidR="00B83F34" w:rsidRDefault="00B83F34" w:rsidP="00F52317">
      <w:pPr>
        <w:pStyle w:val="Bezproreda"/>
        <w:ind w:left="720"/>
        <w:jc w:val="left"/>
      </w:pPr>
    </w:p>
    <w:p w14:paraId="40E40A68" w14:textId="77777777" w:rsidR="009169D6" w:rsidRDefault="009169D6" w:rsidP="00F52317">
      <w:pPr>
        <w:pStyle w:val="Bezproreda"/>
        <w:ind w:left="720"/>
        <w:jc w:val="left"/>
      </w:pPr>
    </w:p>
    <w:p w14:paraId="72130A6A" w14:textId="77777777" w:rsidR="009169D6" w:rsidRDefault="009169D6" w:rsidP="00F52317">
      <w:pPr>
        <w:pStyle w:val="Bezproreda"/>
        <w:ind w:left="720"/>
        <w:jc w:val="left"/>
      </w:pPr>
    </w:p>
    <w:p w14:paraId="4FAA385A" w14:textId="77777777" w:rsidR="009169D6" w:rsidRDefault="009169D6" w:rsidP="00F52317">
      <w:pPr>
        <w:pStyle w:val="Bezproreda"/>
        <w:ind w:left="720"/>
        <w:jc w:val="left"/>
      </w:pPr>
    </w:p>
    <w:p w14:paraId="5D29A74B" w14:textId="77777777" w:rsidR="009169D6" w:rsidRDefault="009169D6" w:rsidP="00F52317">
      <w:pPr>
        <w:pStyle w:val="Bezproreda"/>
        <w:ind w:left="720"/>
        <w:jc w:val="left"/>
      </w:pPr>
    </w:p>
    <w:p w14:paraId="067E690E" w14:textId="77777777" w:rsidR="009169D6" w:rsidRDefault="009169D6" w:rsidP="00F52317">
      <w:pPr>
        <w:pStyle w:val="Bezproreda"/>
        <w:ind w:left="720"/>
        <w:jc w:val="left"/>
      </w:pPr>
    </w:p>
    <w:p w14:paraId="64B29CF1" w14:textId="77777777" w:rsidR="009169D6" w:rsidRDefault="009169D6" w:rsidP="00F52317">
      <w:pPr>
        <w:pStyle w:val="Bezproreda"/>
        <w:ind w:left="720"/>
        <w:jc w:val="left"/>
      </w:pPr>
    </w:p>
    <w:p w14:paraId="137653CD" w14:textId="77777777" w:rsidR="009169D6" w:rsidRDefault="009169D6" w:rsidP="00F52317">
      <w:pPr>
        <w:pStyle w:val="Bezproreda"/>
        <w:ind w:left="720"/>
        <w:jc w:val="left"/>
      </w:pPr>
    </w:p>
    <w:p w14:paraId="69E2B056" w14:textId="72005FF6" w:rsidR="00376616" w:rsidRPr="00376616" w:rsidRDefault="00376616" w:rsidP="00376616">
      <w:pPr>
        <w:pStyle w:val="Odlomakpopisa"/>
        <w:numPr>
          <w:ilvl w:val="2"/>
          <w:numId w:val="15"/>
        </w:numPr>
        <w:spacing w:line="259" w:lineRule="auto"/>
        <w:jc w:val="both"/>
        <w:rPr>
          <w:rFonts w:ascii="Arial" w:hAnsi="Arial" w:cs="Arial"/>
          <w:szCs w:val="24"/>
        </w:rPr>
      </w:pPr>
      <w:r w:rsidRPr="00376616">
        <w:rPr>
          <w:rFonts w:ascii="Arial" w:hAnsi="Arial" w:cs="Arial"/>
          <w:szCs w:val="24"/>
        </w:rPr>
        <w:t>Rashodi prema funkcijskoj klasifikaciji</w:t>
      </w:r>
    </w:p>
    <w:p w14:paraId="43230699" w14:textId="31C1071B" w:rsidR="007555C0" w:rsidRDefault="007555C0" w:rsidP="00F52317">
      <w:pPr>
        <w:pStyle w:val="Bezproreda"/>
        <w:ind w:left="720"/>
        <w:jc w:val="left"/>
      </w:pPr>
    </w:p>
    <w:p w14:paraId="553A6362" w14:textId="3C0398DE" w:rsidR="007555C0" w:rsidRDefault="007555C0" w:rsidP="00F52317">
      <w:pPr>
        <w:pStyle w:val="Bezproreda"/>
        <w:ind w:left="720"/>
        <w:jc w:val="left"/>
      </w:pPr>
    </w:p>
    <w:p w14:paraId="710C568F" w14:textId="0161AAF5" w:rsidR="007555C0" w:rsidRDefault="007555C0" w:rsidP="00F52317">
      <w:pPr>
        <w:pStyle w:val="Bezproreda"/>
        <w:ind w:left="720"/>
        <w:jc w:val="left"/>
      </w:pPr>
    </w:p>
    <w:p w14:paraId="1AE827FD" w14:textId="77777777" w:rsidR="007555C0" w:rsidRDefault="007555C0" w:rsidP="00F52317">
      <w:pPr>
        <w:pStyle w:val="Bezproreda"/>
        <w:ind w:left="720"/>
        <w:jc w:val="left"/>
      </w:pPr>
    </w:p>
    <w:p w14:paraId="47F95EF6" w14:textId="44BCD052" w:rsidR="00B83F34" w:rsidRDefault="00B83F34" w:rsidP="00F52317">
      <w:pPr>
        <w:pStyle w:val="Bezproreda"/>
        <w:ind w:left="720"/>
        <w:jc w:val="left"/>
      </w:pPr>
    </w:p>
    <w:p w14:paraId="5CF8B729" w14:textId="37DA50DD" w:rsidR="00B83F34" w:rsidRPr="00B83F34" w:rsidRDefault="006E6911" w:rsidP="00B83F34">
      <w:pPr>
        <w:pStyle w:val="Bezproreda"/>
        <w:ind w:left="720"/>
        <w:jc w:val="center"/>
        <w:rPr>
          <w:b/>
        </w:rPr>
      </w:pPr>
      <w:r>
        <w:rPr>
          <w:b/>
        </w:rPr>
        <w:t xml:space="preserve">Izvještaj o rashodima </w:t>
      </w:r>
      <w:r w:rsidR="00B83F34" w:rsidRPr="00B83F34">
        <w:rPr>
          <w:b/>
        </w:rPr>
        <w:t>prema funkcijskoj klasifikaciji</w:t>
      </w:r>
    </w:p>
    <w:p w14:paraId="5B5AA868" w14:textId="77777777" w:rsidR="00FE7AAA" w:rsidRDefault="00FE7AAA" w:rsidP="00B83F34">
      <w:pPr>
        <w:pStyle w:val="Bezproreda"/>
        <w:ind w:left="720"/>
        <w:jc w:val="center"/>
      </w:pPr>
    </w:p>
    <w:p w14:paraId="6EA98A71" w14:textId="73E276FB" w:rsidR="00B83F34" w:rsidRDefault="00B83F34" w:rsidP="00B83F34">
      <w:pPr>
        <w:pStyle w:val="Bezproreda"/>
        <w:ind w:left="720"/>
        <w:jc w:val="center"/>
      </w:pPr>
      <w:r>
        <w:t xml:space="preserve">Za razdoblje od 1. siječnja do </w:t>
      </w:r>
      <w:r w:rsidR="006E6911">
        <w:t>3</w:t>
      </w:r>
      <w:r w:rsidR="00F204D3">
        <w:t>1</w:t>
      </w:r>
      <w:r w:rsidR="006E6911">
        <w:t xml:space="preserve">. </w:t>
      </w:r>
      <w:r w:rsidR="00F204D3">
        <w:t>prosinca</w:t>
      </w:r>
      <w:r w:rsidR="006E6911">
        <w:t xml:space="preserve"> 202</w:t>
      </w:r>
      <w:r w:rsidR="0097435A">
        <w:t>5</w:t>
      </w:r>
      <w:r>
        <w:t>. godine</w:t>
      </w:r>
    </w:p>
    <w:p w14:paraId="3B73F00E" w14:textId="338AD9D7" w:rsidR="00B83F34" w:rsidRDefault="00B83F34" w:rsidP="00B83F34">
      <w:pPr>
        <w:pStyle w:val="Bezproreda"/>
        <w:shd w:val="clear" w:color="auto" w:fill="FFFFFF" w:themeFill="background1"/>
        <w:ind w:left="720"/>
        <w:jc w:val="left"/>
      </w:pPr>
    </w:p>
    <w:p w14:paraId="041CB3DE" w14:textId="1E441FE8" w:rsidR="000141B5" w:rsidRDefault="00FE7AAA" w:rsidP="00FE7AAA">
      <w:pPr>
        <w:rPr>
          <w:rFonts w:asciiTheme="minorHAnsi" w:hAnsiTheme="minorHAnsi"/>
          <w:sz w:val="22"/>
        </w:rPr>
      </w:pPr>
      <w:r>
        <w:fldChar w:fldCharType="begin"/>
      </w:r>
      <w:r>
        <w:instrText xml:space="preserve"> LINK </w:instrText>
      </w:r>
      <w:r w:rsidR="000141B5">
        <w:instrText xml:space="preserve">Excel.Sheet.8 "D:\\My documents\\Rita Općina\\Polugodišni izvještaj oizvršenju Proračuna za 2024\\Ispis izvršenja proračuna -VLAŠKIPUTI.xls" "Rashodi prema funkcijskoj kOK -!R9C1:R13C6" </w:instrText>
      </w:r>
      <w:r>
        <w:instrText xml:space="preserve">\a \f 4 \h </w:instrText>
      </w:r>
      <w:r w:rsidR="00537D06">
        <w:instrText xml:space="preserve"> \* MERGEFORMAT </w:instrText>
      </w:r>
      <w:r>
        <w:fldChar w:fldCharType="separate"/>
      </w:r>
    </w:p>
    <w:tbl>
      <w:tblPr>
        <w:tblW w:w="9944" w:type="dxa"/>
        <w:tblLook w:val="04A0" w:firstRow="1" w:lastRow="0" w:firstColumn="1" w:lastColumn="0" w:noHBand="0" w:noVBand="1"/>
      </w:tblPr>
      <w:tblGrid>
        <w:gridCol w:w="4800"/>
        <w:gridCol w:w="1280"/>
        <w:gridCol w:w="1117"/>
        <w:gridCol w:w="1120"/>
        <w:gridCol w:w="840"/>
        <w:gridCol w:w="787"/>
      </w:tblGrid>
      <w:tr w:rsidR="000141B5" w:rsidRPr="000141B5" w14:paraId="3A9FF85E" w14:textId="77777777" w:rsidTr="00130634">
        <w:trPr>
          <w:divId w:val="911429350"/>
          <w:trHeight w:val="48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14:paraId="6E615F8F" w14:textId="7F5F3FBA" w:rsidR="000141B5" w:rsidRPr="009C7453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Brojčana oznaka i naziv funkcijske klasifikacije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89BF294" w14:textId="37A257BF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Izvršenje             1-</w:t>
            </w:r>
            <w:r w:rsidR="00F204D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</w:t>
            </w:r>
            <w:r w:rsidR="00A1510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/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9743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  <w:hideMark/>
          </w:tcPr>
          <w:p w14:paraId="01B5D489" w14:textId="3582A3C7" w:rsidR="000141B5" w:rsidRPr="000141B5" w:rsidRDefault="0097435A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I.Rebalans 2025.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  <w:hideMark/>
          </w:tcPr>
          <w:p w14:paraId="37A74B29" w14:textId="5DBF122A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Izvršenje           1-</w:t>
            </w:r>
            <w:r w:rsidR="00A1510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/202</w:t>
            </w:r>
            <w:r w:rsidR="009743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  <w:hideMark/>
          </w:tcPr>
          <w:p w14:paraId="27FB3100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Indeks 3/1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  <w:hideMark/>
          </w:tcPr>
          <w:p w14:paraId="6A9393F4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Indeks 3/2</w:t>
            </w:r>
          </w:p>
        </w:tc>
      </w:tr>
      <w:tr w:rsidR="000141B5" w:rsidRPr="000141B5" w14:paraId="7485B85D" w14:textId="77777777" w:rsidTr="00130634">
        <w:trPr>
          <w:divId w:val="911429350"/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6080A3D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D7D82B4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30C043C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F0B71A0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512DC77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FA0BD2A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</w:t>
            </w:r>
          </w:p>
        </w:tc>
      </w:tr>
      <w:tr w:rsidR="000141B5" w:rsidRPr="000141B5" w14:paraId="2E20F30E" w14:textId="77777777" w:rsidTr="00130634">
        <w:trPr>
          <w:divId w:val="911429350"/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FECC42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Funkcijska klasifikacija  SVEUKUPNI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1EEDF35" w14:textId="05FBD224" w:rsidR="000141B5" w:rsidRPr="000141B5" w:rsidRDefault="0097435A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60.240,36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3F5EF49" w14:textId="152647E2" w:rsidR="000141B5" w:rsidRPr="000141B5" w:rsidRDefault="0097435A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72.955,40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E9A740" w14:textId="36991468" w:rsidR="000141B5" w:rsidRPr="000141B5" w:rsidRDefault="00130634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3063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67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</w:t>
            </w:r>
            <w:r w:rsidRPr="0013063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182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,</w:t>
            </w:r>
            <w:r w:rsidRPr="0013063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C21318" w14:textId="0560AB0A" w:rsidR="000141B5" w:rsidRPr="000141B5" w:rsidRDefault="00870296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111,52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2637F8C" w14:textId="6533BFB4" w:rsidR="000141B5" w:rsidRPr="000141B5" w:rsidRDefault="00870296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92,08</w:t>
            </w:r>
          </w:p>
        </w:tc>
      </w:tr>
      <w:tr w:rsidR="00130634" w:rsidRPr="000141B5" w14:paraId="2C617B44" w14:textId="77777777" w:rsidTr="00130634">
        <w:trPr>
          <w:divId w:val="911429350"/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11927B8" w14:textId="77777777" w:rsidR="00130634" w:rsidRPr="009C7453" w:rsidRDefault="00130634" w:rsidP="0013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Funkcijska klasifikacija 08 Rekreacija, kultura i religija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7D158A31" w14:textId="07843205" w:rsidR="00130634" w:rsidRPr="000141B5" w:rsidRDefault="00130634" w:rsidP="001306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60.240,36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3E637D86" w14:textId="3C8B1FBE" w:rsidR="00130634" w:rsidRPr="000141B5" w:rsidRDefault="00130634" w:rsidP="001306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72.955,40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09D3641C" w14:textId="318E3E5C" w:rsidR="00130634" w:rsidRPr="000141B5" w:rsidRDefault="00130634" w:rsidP="001306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3063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67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</w:t>
            </w:r>
            <w:r w:rsidRPr="0013063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182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,</w:t>
            </w:r>
            <w:r w:rsidRPr="0013063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0DB44544" w14:textId="11E9FFD0" w:rsidR="00130634" w:rsidRPr="000141B5" w:rsidRDefault="00870296" w:rsidP="001306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111,52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57D1F2EE" w14:textId="3367AA08" w:rsidR="00130634" w:rsidRPr="000141B5" w:rsidRDefault="00870296" w:rsidP="001306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92,08</w:t>
            </w:r>
          </w:p>
        </w:tc>
      </w:tr>
      <w:tr w:rsidR="00130634" w:rsidRPr="000141B5" w14:paraId="475C28B2" w14:textId="77777777" w:rsidTr="00130634">
        <w:trPr>
          <w:divId w:val="911429350"/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C29B46" w14:textId="77777777" w:rsidR="00130634" w:rsidRPr="000141B5" w:rsidRDefault="00130634" w:rsidP="0013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Funkcijska klasifikacija 082 Službe kulture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CB8F6A" w14:textId="1A2F771D" w:rsidR="00130634" w:rsidRPr="000141B5" w:rsidRDefault="00130634" w:rsidP="001306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60.240,36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49BE30" w14:textId="5E3E3BFB" w:rsidR="00130634" w:rsidRPr="000141B5" w:rsidRDefault="00130634" w:rsidP="001306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72.955,40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11E179" w14:textId="319BF663" w:rsidR="00130634" w:rsidRPr="000141B5" w:rsidRDefault="00130634" w:rsidP="001306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3063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67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</w:t>
            </w:r>
            <w:r w:rsidRPr="0013063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182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,</w:t>
            </w:r>
            <w:r w:rsidRPr="0013063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03B4F9" w14:textId="5E7C021C" w:rsidR="00130634" w:rsidRPr="000141B5" w:rsidRDefault="00870296" w:rsidP="001306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111,52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42A260" w14:textId="47D339AE" w:rsidR="00130634" w:rsidRPr="000141B5" w:rsidRDefault="00870296" w:rsidP="001306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92,08</w:t>
            </w:r>
          </w:p>
        </w:tc>
      </w:tr>
    </w:tbl>
    <w:p w14:paraId="3111EA42" w14:textId="3244FD9D" w:rsidR="00FE7AAA" w:rsidRDefault="00FE7AAA" w:rsidP="00FE7AAA">
      <w:r>
        <w:fldChar w:fldCharType="end"/>
      </w:r>
    </w:p>
    <w:p w14:paraId="25309610" w14:textId="53F9A719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2B8C4845" w14:textId="3FBD3EE8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5A231AD4" w14:textId="0FC91AF9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311C81C6" w14:textId="2DAB4F10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2004F341" w14:textId="78F4C14D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60A8AC1E" w14:textId="41DFF28F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476934DC" w14:textId="2A1DBEC1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522BBBFE" w14:textId="72D7DCDB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5E40B8BD" w14:textId="73FC1C2C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29D1CB4E" w14:textId="70714AF8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455611EA" w14:textId="11FA27BC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44D31616" w14:textId="71032C12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21BEA5D4" w14:textId="29EC7016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6E94CD10" w14:textId="5D8BCD2E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574B4CFA" w14:textId="7ED508E7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4DC3904F" w14:textId="6284136B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7FE9DF36" w14:textId="4A2517AC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0C0A0179" w14:textId="76E72637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1CB21314" w14:textId="7692ACEC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7400BE96" w14:textId="5B9C6D36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1B16A00A" w14:textId="4E0656EE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6441C43F" w14:textId="4A129248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4582B57D" w14:textId="42795460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43A6CA28" w14:textId="70A62DDB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508E2577" w14:textId="78401AAC" w:rsidR="00FE7AAA" w:rsidRDefault="00FE7AAA" w:rsidP="00645F37">
      <w:pPr>
        <w:pStyle w:val="Bezproreda"/>
        <w:shd w:val="clear" w:color="auto" w:fill="FFFFFF" w:themeFill="background1"/>
        <w:jc w:val="left"/>
      </w:pPr>
    </w:p>
    <w:p w14:paraId="4E4C2D86" w14:textId="5B7B3D07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21E11D19" w14:textId="5425FC9B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5058ACCF" w14:textId="74EA6D9E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29C343EE" w14:textId="33A9E6F7" w:rsidR="00376616" w:rsidRPr="00376616" w:rsidRDefault="00376616" w:rsidP="00376616">
      <w:pPr>
        <w:pStyle w:val="Odlomakpopisa"/>
        <w:numPr>
          <w:ilvl w:val="1"/>
          <w:numId w:val="15"/>
        </w:numPr>
        <w:spacing w:line="259" w:lineRule="auto"/>
        <w:jc w:val="both"/>
        <w:rPr>
          <w:rFonts w:ascii="Arial" w:hAnsi="Arial" w:cs="Arial"/>
          <w:b/>
          <w:bCs/>
          <w:szCs w:val="24"/>
        </w:rPr>
      </w:pPr>
      <w:r w:rsidRPr="00376616">
        <w:rPr>
          <w:rFonts w:ascii="Arial" w:hAnsi="Arial" w:cs="Arial"/>
          <w:b/>
          <w:bCs/>
          <w:szCs w:val="24"/>
        </w:rPr>
        <w:t>Račun financiranja</w:t>
      </w:r>
    </w:p>
    <w:p w14:paraId="607C403B" w14:textId="19B8FEC3" w:rsidR="00FE7AAA" w:rsidRDefault="00FE7AAA" w:rsidP="00B83F34">
      <w:pPr>
        <w:pStyle w:val="Bezproreda"/>
        <w:shd w:val="clear" w:color="auto" w:fill="FFFFFF" w:themeFill="background1"/>
        <w:ind w:left="720"/>
        <w:jc w:val="left"/>
      </w:pPr>
    </w:p>
    <w:p w14:paraId="2393D8F0" w14:textId="147A647B" w:rsidR="00B83F34" w:rsidRDefault="00B83F34" w:rsidP="00376616">
      <w:pPr>
        <w:pStyle w:val="Bezproreda"/>
        <w:shd w:val="clear" w:color="auto" w:fill="FFFFFF" w:themeFill="background1"/>
        <w:jc w:val="left"/>
      </w:pPr>
    </w:p>
    <w:p w14:paraId="366D6D3E" w14:textId="77777777" w:rsidR="00F34F18" w:rsidRDefault="00F34F18" w:rsidP="00B83F34">
      <w:pPr>
        <w:pStyle w:val="Bezproreda"/>
        <w:shd w:val="clear" w:color="auto" w:fill="FFFFFF" w:themeFill="background1"/>
        <w:ind w:left="720"/>
        <w:jc w:val="left"/>
      </w:pPr>
    </w:p>
    <w:p w14:paraId="23C7DFEA" w14:textId="3744E586" w:rsidR="007B1F79" w:rsidRPr="00376616" w:rsidRDefault="00376616" w:rsidP="00376616">
      <w:pPr>
        <w:spacing w:line="259" w:lineRule="auto"/>
        <w:ind w:left="1080"/>
        <w:jc w:val="both"/>
        <w:rPr>
          <w:rFonts w:ascii="Arial" w:hAnsi="Arial" w:cs="Arial"/>
          <w:szCs w:val="24"/>
        </w:rPr>
      </w:pPr>
      <w:r w:rsidRPr="00376616">
        <w:rPr>
          <w:rFonts w:ascii="Arial" w:hAnsi="Arial" w:cs="Arial"/>
          <w:szCs w:val="24"/>
        </w:rPr>
        <w:t>1.3.1.Račun financiranja prema ekonomskoj klasifikaciji</w:t>
      </w:r>
    </w:p>
    <w:p w14:paraId="7CC59EE0" w14:textId="77777777" w:rsidR="00114A19" w:rsidRDefault="00114A19" w:rsidP="007B1F79">
      <w:pPr>
        <w:pStyle w:val="Bezproreda"/>
        <w:shd w:val="clear" w:color="auto" w:fill="FFFFFF" w:themeFill="background1"/>
        <w:ind w:left="720"/>
        <w:jc w:val="center"/>
        <w:rPr>
          <w:b/>
        </w:rPr>
      </w:pPr>
    </w:p>
    <w:p w14:paraId="45E5CA68" w14:textId="709342D3" w:rsidR="007B1F79" w:rsidRPr="00B5327A" w:rsidRDefault="007846FC" w:rsidP="007B1F79">
      <w:pPr>
        <w:pStyle w:val="Bezproreda"/>
        <w:shd w:val="clear" w:color="auto" w:fill="FFFFFF" w:themeFill="background1"/>
        <w:ind w:left="720"/>
        <w:jc w:val="center"/>
        <w:rPr>
          <w:b/>
        </w:rPr>
      </w:pPr>
      <w:r>
        <w:rPr>
          <w:b/>
        </w:rPr>
        <w:t>Izvještaj r</w:t>
      </w:r>
      <w:r w:rsidR="007B1F79" w:rsidRPr="00B5327A">
        <w:rPr>
          <w:b/>
        </w:rPr>
        <w:t>ačun</w:t>
      </w:r>
      <w:r>
        <w:rPr>
          <w:b/>
        </w:rPr>
        <w:t>a</w:t>
      </w:r>
      <w:r w:rsidR="007B1F79" w:rsidRPr="00B5327A">
        <w:rPr>
          <w:b/>
        </w:rPr>
        <w:t xml:space="preserve"> financiranja prema ekonomskoj klasifikaciji</w:t>
      </w:r>
    </w:p>
    <w:p w14:paraId="1B92CCAD" w14:textId="789EB944" w:rsidR="007B1F79" w:rsidRDefault="007B1F79" w:rsidP="007B1F79">
      <w:pPr>
        <w:pStyle w:val="Bezproreda"/>
        <w:shd w:val="clear" w:color="auto" w:fill="FFFFFF" w:themeFill="background1"/>
        <w:ind w:left="720"/>
        <w:jc w:val="center"/>
      </w:pPr>
      <w:r>
        <w:t>Za razdoblje od 1.</w:t>
      </w:r>
      <w:r w:rsidR="007846FC">
        <w:t>siječnja 202</w:t>
      </w:r>
      <w:r w:rsidR="00E5772F">
        <w:t>5</w:t>
      </w:r>
      <w:r>
        <w:t xml:space="preserve">. do </w:t>
      </w:r>
      <w:r w:rsidR="007846FC">
        <w:t>3</w:t>
      </w:r>
      <w:r w:rsidR="00911BD7">
        <w:t>1</w:t>
      </w:r>
      <w:r w:rsidR="007846FC">
        <w:t xml:space="preserve">. </w:t>
      </w:r>
      <w:r w:rsidR="00911BD7">
        <w:t>prosinca</w:t>
      </w:r>
      <w:r w:rsidR="007846FC">
        <w:t xml:space="preserve"> 202</w:t>
      </w:r>
      <w:r w:rsidR="00E5772F">
        <w:t>5</w:t>
      </w:r>
      <w:r>
        <w:t>.</w:t>
      </w:r>
    </w:p>
    <w:p w14:paraId="1FD3F2D1" w14:textId="2116F5EC" w:rsidR="00B83F34" w:rsidRDefault="00B83F34" w:rsidP="00B83F34">
      <w:pPr>
        <w:pStyle w:val="Bezproreda"/>
        <w:shd w:val="clear" w:color="auto" w:fill="FFFFFF" w:themeFill="background1"/>
        <w:ind w:left="720"/>
        <w:jc w:val="left"/>
      </w:pP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3681"/>
        <w:gridCol w:w="1276"/>
        <w:gridCol w:w="1134"/>
        <w:gridCol w:w="1275"/>
        <w:gridCol w:w="1418"/>
        <w:gridCol w:w="1276"/>
      </w:tblGrid>
      <w:tr w:rsidR="00804C69" w:rsidRPr="00804C69" w14:paraId="0B3971C2" w14:textId="77777777" w:rsidTr="00537D06">
        <w:trPr>
          <w:trHeight w:val="94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30B6AD" w14:textId="77777777" w:rsidR="00804C69" w:rsidRPr="00804C69" w:rsidRDefault="00804C69" w:rsidP="00537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Brojčana oznaka i naziv primitaka i izdataka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DCE4D6" w14:textId="4A0AD3D4" w:rsidR="00804C69" w:rsidRPr="00804C69" w:rsidRDefault="00804C69" w:rsidP="00537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Ostvarenje/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Izvršenje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  </w:t>
            </w: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1-</w:t>
            </w:r>
            <w:r w:rsidR="00713B0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</w:t>
            </w: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/202</w:t>
            </w:r>
            <w:r w:rsidR="00E5772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</w:t>
            </w: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E43C559" w14:textId="5AEE4C74" w:rsidR="00804C69" w:rsidRPr="00804C69" w:rsidRDefault="00E5772F" w:rsidP="00537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I.Rebalans 2025.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F6DED7" w14:textId="7A000006" w:rsidR="00804C69" w:rsidRPr="00804C69" w:rsidRDefault="00804C69" w:rsidP="00537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Ostvarenje / Izvršenje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 </w:t>
            </w: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1-</w:t>
            </w:r>
            <w:r w:rsidR="00713B0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</w:t>
            </w: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/202</w:t>
            </w:r>
            <w:r w:rsidR="00E5772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</w:t>
            </w: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CFD371" w14:textId="77777777" w:rsidR="00804C69" w:rsidRPr="00804C69" w:rsidRDefault="00804C69" w:rsidP="00537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Indeks 3/1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CEF811F" w14:textId="77777777" w:rsidR="00804C69" w:rsidRPr="00804C69" w:rsidRDefault="00804C69" w:rsidP="00537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Indeks 3/2</w:t>
            </w:r>
          </w:p>
        </w:tc>
      </w:tr>
      <w:tr w:rsidR="00804C69" w:rsidRPr="00804C69" w14:paraId="6CC2F850" w14:textId="77777777" w:rsidTr="00537D06">
        <w:trPr>
          <w:trHeight w:val="24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CDDDBE" w14:textId="0FE3C2C3" w:rsidR="00804C69" w:rsidRPr="00804C69" w:rsidRDefault="00804C69" w:rsidP="00804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 xml:space="preserve">B. RAČUN </w:t>
            </w:r>
            <w:r w:rsidR="00537D0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 xml:space="preserve"> </w:t>
            </w:r>
            <w:r w:rsidRPr="00804C6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FINANCIRANJA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C099B1" w14:textId="77777777" w:rsidR="00804C69" w:rsidRPr="00804C69" w:rsidRDefault="00804C69" w:rsidP="00804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D4E2B5" w14:textId="77777777" w:rsidR="00804C69" w:rsidRPr="00804C69" w:rsidRDefault="00804C69" w:rsidP="00804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0A1790" w14:textId="77777777" w:rsidR="00804C69" w:rsidRPr="00804C69" w:rsidRDefault="00804C69" w:rsidP="00804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36D909" w14:textId="77777777" w:rsidR="00804C69" w:rsidRPr="00804C69" w:rsidRDefault="00804C69" w:rsidP="00804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31136C" w14:textId="77777777" w:rsidR="00804C69" w:rsidRPr="00804C69" w:rsidRDefault="00804C69" w:rsidP="00804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5</w:t>
            </w:r>
          </w:p>
        </w:tc>
      </w:tr>
      <w:tr w:rsidR="00804C69" w:rsidRPr="00804C69" w14:paraId="31867366" w14:textId="77777777" w:rsidTr="00537D06">
        <w:trPr>
          <w:trHeight w:val="51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0C5A" w14:textId="77777777" w:rsidR="00804C69" w:rsidRPr="00804C69" w:rsidRDefault="00804C69" w:rsidP="0080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 Primici od financijske imovine i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92C5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3A46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7DCE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EA61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5AF6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</w:tr>
      <w:tr w:rsidR="00804C69" w:rsidRPr="00804C69" w14:paraId="5756C773" w14:textId="77777777" w:rsidTr="00537D06">
        <w:trPr>
          <w:trHeight w:val="51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D66A" w14:textId="77777777" w:rsidR="00804C69" w:rsidRPr="00804C69" w:rsidRDefault="00804C69" w:rsidP="0080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84 Primici od financijske imovine i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F697E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B71A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405A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A9B7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B655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</w:tr>
      <w:tr w:rsidR="00804C69" w:rsidRPr="00804C69" w14:paraId="6720A746" w14:textId="77777777" w:rsidTr="00537D06">
        <w:trPr>
          <w:trHeight w:val="51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E682F" w14:textId="77777777" w:rsidR="00804C69" w:rsidRPr="009C7453" w:rsidRDefault="00804C69" w:rsidP="00804C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844 Primljeni krediti i zajmovi od kreditnih i ostalih financijskih institucija izvan javnog sektora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B203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D5E3" w14:textId="7AF01FD5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  <w:r w:rsidR="0062602D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3329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B9F6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D4D4" w14:textId="723A0AF7" w:rsidR="00804C69" w:rsidRPr="00804C69" w:rsidRDefault="0062602D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</w:tr>
      <w:tr w:rsidR="00804C69" w:rsidRPr="00804C69" w14:paraId="2EFBF8D6" w14:textId="77777777" w:rsidTr="00537D06">
        <w:trPr>
          <w:trHeight w:val="51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E1599" w14:textId="77777777" w:rsidR="00804C69" w:rsidRPr="009C7453" w:rsidRDefault="00804C69" w:rsidP="00804C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8443 Primljeni krediti od tuzemnih kreditnih institucija izvan javnog sektora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8160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FDD8" w14:textId="1236ABAB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  <w:r w:rsidR="0062602D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10343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F93B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28BF" w14:textId="37C38D22" w:rsidR="00804C69" w:rsidRPr="00804C69" w:rsidRDefault="0062602D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  <w:r w:rsidR="00804C69"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</w:tr>
      <w:tr w:rsidR="00804C69" w:rsidRPr="00804C69" w14:paraId="7767EFAA" w14:textId="77777777" w:rsidTr="00537D06">
        <w:trPr>
          <w:trHeight w:val="51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5EE3B" w14:textId="77777777" w:rsidR="00804C69" w:rsidRPr="00804C69" w:rsidRDefault="00804C69" w:rsidP="0080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 Izdaci za financijsku imovinu i otplate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101A9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7B05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16BB9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6A41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157C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</w:tr>
      <w:tr w:rsidR="00804C69" w:rsidRPr="00804C69" w14:paraId="0124B381" w14:textId="77777777" w:rsidTr="00537D06">
        <w:trPr>
          <w:trHeight w:val="51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240BF" w14:textId="77777777" w:rsidR="00804C69" w:rsidRPr="00804C69" w:rsidRDefault="00804C69" w:rsidP="0080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54 Izdaci za otplatu glavnice primljenih kredita i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C01E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2BD9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DB82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BC21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16C8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</w:tr>
      <w:tr w:rsidR="00804C69" w:rsidRPr="00804C69" w14:paraId="45687231" w14:textId="77777777" w:rsidTr="00537D06">
        <w:trPr>
          <w:trHeight w:val="51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6FBDB" w14:textId="77777777" w:rsidR="00804C69" w:rsidRPr="009C7453" w:rsidRDefault="00804C69" w:rsidP="00804C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544 Otplata glavnice primljenih kredita i zajmova od kreditnih i ostalih financijskih institucija izvan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EFE7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5325" w14:textId="566BAB8E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  <w:r w:rsidR="0062602D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B7AB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CD19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17D8" w14:textId="640A1E4D" w:rsidR="00804C69" w:rsidRPr="00804C69" w:rsidRDefault="0062602D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  <w:r w:rsidR="00804C69"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</w:tr>
      <w:tr w:rsidR="00804C69" w:rsidRPr="00804C69" w14:paraId="066913E1" w14:textId="77777777" w:rsidTr="00537D06">
        <w:trPr>
          <w:trHeight w:val="51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18888" w14:textId="77777777" w:rsidR="00804C69" w:rsidRPr="009C7453" w:rsidRDefault="00804C69" w:rsidP="00804C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5443 Otplata glavnice primljenih kredita od tuzemnih kreditnih institucija izvan javnog sektora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B53B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85A85" w14:textId="5BDFA7CE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  <w:r w:rsidR="0062602D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8219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CD47F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D6B0" w14:textId="73395EB7" w:rsidR="00804C69" w:rsidRPr="00804C69" w:rsidRDefault="0062602D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  <w:r w:rsidR="00804C69"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</w:tr>
    </w:tbl>
    <w:p w14:paraId="693CBECF" w14:textId="5A70E82F" w:rsidR="00007E0C" w:rsidRDefault="00007E0C" w:rsidP="00B83F34">
      <w:pPr>
        <w:pStyle w:val="Bezproreda"/>
        <w:shd w:val="clear" w:color="auto" w:fill="FFFFFF" w:themeFill="background1"/>
        <w:ind w:left="720"/>
        <w:jc w:val="left"/>
      </w:pPr>
    </w:p>
    <w:p w14:paraId="38883CE0" w14:textId="5D942322" w:rsidR="00007E0C" w:rsidRDefault="00007E0C" w:rsidP="00804C69">
      <w:pPr>
        <w:pStyle w:val="Bezproreda"/>
        <w:shd w:val="clear" w:color="auto" w:fill="FFFFFF" w:themeFill="background1"/>
        <w:jc w:val="left"/>
      </w:pPr>
    </w:p>
    <w:p w14:paraId="1714AD51" w14:textId="62BDE211" w:rsidR="00007E0C" w:rsidRPr="00376616" w:rsidRDefault="00376616" w:rsidP="00376616">
      <w:pPr>
        <w:pStyle w:val="Bezproreda"/>
        <w:numPr>
          <w:ilvl w:val="2"/>
          <w:numId w:val="15"/>
        </w:numPr>
        <w:shd w:val="clear" w:color="auto" w:fill="FFFFFF" w:themeFill="background1"/>
        <w:jc w:val="left"/>
        <w:rPr>
          <w:szCs w:val="24"/>
        </w:rPr>
      </w:pPr>
      <w:r w:rsidRPr="00376616">
        <w:rPr>
          <w:rFonts w:cs="Arial"/>
          <w:szCs w:val="24"/>
        </w:rPr>
        <w:t>Račun financiranja prema izvorima financiranja</w:t>
      </w:r>
    </w:p>
    <w:p w14:paraId="39060341" w14:textId="36B7A4F0" w:rsidR="000A5A2E" w:rsidRDefault="000A5A2E" w:rsidP="00E22A16">
      <w:pPr>
        <w:pStyle w:val="Bezproreda"/>
        <w:shd w:val="clear" w:color="auto" w:fill="FFFFFF" w:themeFill="background1"/>
        <w:ind w:left="720"/>
        <w:jc w:val="left"/>
      </w:pPr>
    </w:p>
    <w:p w14:paraId="3E3F5A3D" w14:textId="77777777" w:rsidR="000A5A2E" w:rsidRDefault="000A5A2E" w:rsidP="00E22A16">
      <w:pPr>
        <w:pStyle w:val="Bezproreda"/>
        <w:shd w:val="clear" w:color="auto" w:fill="FFFFFF" w:themeFill="background1"/>
        <w:ind w:left="720"/>
        <w:jc w:val="left"/>
      </w:pPr>
    </w:p>
    <w:p w14:paraId="1E3B1B15" w14:textId="6D64893E" w:rsidR="001B1F3E" w:rsidRPr="00B5327A" w:rsidRDefault="007846FC" w:rsidP="001B1F3E">
      <w:pPr>
        <w:pStyle w:val="Bezproreda"/>
        <w:shd w:val="clear" w:color="auto" w:fill="FFFFFF" w:themeFill="background1"/>
        <w:ind w:left="720"/>
        <w:jc w:val="center"/>
        <w:rPr>
          <w:b/>
        </w:rPr>
      </w:pPr>
      <w:r>
        <w:rPr>
          <w:b/>
        </w:rPr>
        <w:t>Izvještaj r</w:t>
      </w:r>
      <w:r w:rsidR="001B1F3E" w:rsidRPr="00B5327A">
        <w:rPr>
          <w:b/>
        </w:rPr>
        <w:t>ačun</w:t>
      </w:r>
      <w:r>
        <w:rPr>
          <w:b/>
        </w:rPr>
        <w:t>a</w:t>
      </w:r>
      <w:r w:rsidR="001B1F3E" w:rsidRPr="00B5327A">
        <w:rPr>
          <w:b/>
        </w:rPr>
        <w:t xml:space="preserve"> financiranja prema izvorima financiranja</w:t>
      </w:r>
    </w:p>
    <w:p w14:paraId="10DA17CB" w14:textId="4F8C2076" w:rsidR="007846FC" w:rsidRDefault="007846FC" w:rsidP="007846FC">
      <w:pPr>
        <w:pStyle w:val="Bezproreda"/>
        <w:shd w:val="clear" w:color="auto" w:fill="FFFFFF" w:themeFill="background1"/>
        <w:ind w:left="720"/>
        <w:jc w:val="center"/>
      </w:pPr>
      <w:r>
        <w:t>Za razdoblje od 1.siječnja 202</w:t>
      </w:r>
      <w:r w:rsidR="00EC43BC">
        <w:t>5</w:t>
      </w:r>
      <w:r>
        <w:t>. do 3</w:t>
      </w:r>
      <w:r w:rsidR="00713B0C">
        <w:t>1</w:t>
      </w:r>
      <w:r>
        <w:t xml:space="preserve">. </w:t>
      </w:r>
      <w:r w:rsidR="00713B0C">
        <w:t>prosinca</w:t>
      </w:r>
      <w:r>
        <w:t xml:space="preserve"> 202</w:t>
      </w:r>
      <w:r w:rsidR="00EC43BC">
        <w:t>5</w:t>
      </w:r>
      <w:r>
        <w:t>.</w:t>
      </w:r>
    </w:p>
    <w:p w14:paraId="1CE79766" w14:textId="7BA7D847" w:rsidR="0040597E" w:rsidRDefault="0040597E" w:rsidP="00E22A16">
      <w:pPr>
        <w:pStyle w:val="Bezproreda"/>
        <w:shd w:val="clear" w:color="auto" w:fill="FFFFFF" w:themeFill="background1"/>
        <w:ind w:left="720"/>
        <w:jc w:val="left"/>
      </w:pPr>
    </w:p>
    <w:p w14:paraId="435F5221" w14:textId="79E57B97" w:rsidR="000141B5" w:rsidRDefault="00A475C3" w:rsidP="00A475C3">
      <w:pPr>
        <w:pStyle w:val="Bezproreda"/>
        <w:shd w:val="clear" w:color="auto" w:fill="FFFFFF" w:themeFill="background1"/>
        <w:jc w:val="left"/>
        <w:rPr>
          <w:rFonts w:asciiTheme="minorHAnsi" w:hAnsiTheme="minorHAnsi"/>
          <w:sz w:val="22"/>
        </w:rPr>
      </w:pPr>
      <w:r>
        <w:fldChar w:fldCharType="begin"/>
      </w:r>
      <w:r>
        <w:instrText xml:space="preserve"> LINK </w:instrText>
      </w:r>
      <w:r w:rsidR="000141B5">
        <w:instrText xml:space="preserve">Excel.Sheet.8 "D:\\My documents\\Rita Općina\\Polugodišni izvještaj oizvršenju Proračuna za 2024\\Ispis izvršenja proračuna -VLAŠKIPUTI.xls" "Račun financiranja prema izvori!R14C1:R19C6" </w:instrText>
      </w:r>
      <w:r>
        <w:instrText xml:space="preserve">\a \f 4 \h  \* MERGEFORMAT </w:instrText>
      </w:r>
      <w:r>
        <w:fldChar w:fldCharType="separate"/>
      </w:r>
    </w:p>
    <w:tbl>
      <w:tblPr>
        <w:tblW w:w="10069" w:type="dxa"/>
        <w:tblLook w:val="04A0" w:firstRow="1" w:lastRow="0" w:firstColumn="1" w:lastColumn="0" w:noHBand="0" w:noVBand="1"/>
      </w:tblPr>
      <w:tblGrid>
        <w:gridCol w:w="3418"/>
        <w:gridCol w:w="1967"/>
        <w:gridCol w:w="1117"/>
        <w:gridCol w:w="1183"/>
        <w:gridCol w:w="1316"/>
        <w:gridCol w:w="1184"/>
      </w:tblGrid>
      <w:tr w:rsidR="000141B5" w:rsidRPr="000141B5" w14:paraId="71C33A5C" w14:textId="77777777" w:rsidTr="00F30D68">
        <w:trPr>
          <w:divId w:val="257637886"/>
          <w:trHeight w:val="654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C2C17F" w14:textId="19072D3E" w:rsidR="000141B5" w:rsidRPr="009C7453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Brojčana oznaka i naziv izvora financiranja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4860172" w14:textId="2E8505E2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Ostvarenje/Izvršenje    1-</w:t>
            </w:r>
            <w:r w:rsidR="00713B0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/202</w:t>
            </w:r>
            <w:r w:rsidR="00EC43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3F26A3A" w14:textId="491C9682" w:rsidR="000141B5" w:rsidRPr="000141B5" w:rsidRDefault="00EC43BC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I.Rebalans 2025.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5E1F78F" w14:textId="5F95214F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Ostvarenje / Izvršenje    1-</w:t>
            </w:r>
            <w:r w:rsidR="00713B0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/202</w:t>
            </w:r>
            <w:r w:rsidR="00EC43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8E2DD2D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Indeks 3/1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24BD1FA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Indeks 3/2</w:t>
            </w:r>
          </w:p>
        </w:tc>
      </w:tr>
      <w:tr w:rsidR="000141B5" w:rsidRPr="000141B5" w14:paraId="7E963089" w14:textId="77777777" w:rsidTr="00F30D68">
        <w:trPr>
          <w:divId w:val="257637886"/>
          <w:trHeight w:val="231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69A2D3C1" w14:textId="653780FF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GB" w:eastAsia="en-GB"/>
              </w:rPr>
              <w:t xml:space="preserve">B. RAČUN 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r w:rsidR="007F08B8" w:rsidRPr="007F08B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GB" w:eastAsia="en-GB"/>
              </w:rPr>
              <w:t xml:space="preserve"> FINANCIRANJA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26A28887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445C6EB8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29107438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74746FB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047B05B2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</w:t>
            </w:r>
          </w:p>
        </w:tc>
      </w:tr>
      <w:tr w:rsidR="000141B5" w:rsidRPr="000141B5" w14:paraId="23BB6FCA" w14:textId="77777777" w:rsidTr="00F30D68">
        <w:trPr>
          <w:divId w:val="257637886"/>
          <w:trHeight w:val="231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104C8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UKUPNI PRIMICI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1672B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F8F6C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E01EB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C6C7D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AC243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</w:tr>
      <w:tr w:rsidR="000141B5" w:rsidRPr="000141B5" w14:paraId="6CEF3649" w14:textId="77777777" w:rsidTr="00F30D68">
        <w:trPr>
          <w:divId w:val="257637886"/>
          <w:trHeight w:val="231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C5E24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8.1. NAMJENSKI PRIMICI OD ZADUŽENJA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4690A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E75EF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F085E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10758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384ED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</w:tr>
      <w:tr w:rsidR="000141B5" w:rsidRPr="000141B5" w14:paraId="10F24224" w14:textId="77777777" w:rsidTr="00F30D68">
        <w:trPr>
          <w:divId w:val="257637886"/>
          <w:trHeight w:val="231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28595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UKUPNI IZDACI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B70BB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09A56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DBE5D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CEFFE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FC701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</w:tr>
      <w:tr w:rsidR="000141B5" w:rsidRPr="000141B5" w14:paraId="769CA8F9" w14:textId="77777777" w:rsidTr="00F30D68">
        <w:trPr>
          <w:divId w:val="257637886"/>
          <w:trHeight w:val="474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00B36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3.2. VLASTITI PRIHODI PRORAČUNSKOG KORISNIKA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AEFF0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36B15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FD481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82478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BCDA3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</w:tr>
    </w:tbl>
    <w:p w14:paraId="14DE5F14" w14:textId="1615CE58" w:rsidR="00F34F18" w:rsidRDefault="00A475C3" w:rsidP="002A0990">
      <w:pPr>
        <w:pStyle w:val="Bezproreda"/>
        <w:shd w:val="clear" w:color="auto" w:fill="FFFFFF" w:themeFill="background1"/>
        <w:jc w:val="left"/>
      </w:pPr>
      <w:r>
        <w:fldChar w:fldCharType="end"/>
      </w:r>
    </w:p>
    <w:p w14:paraId="37182843" w14:textId="77777777" w:rsidR="00F34F18" w:rsidRDefault="00F34F18" w:rsidP="0040597E">
      <w:pPr>
        <w:pStyle w:val="Bezproreda"/>
        <w:shd w:val="clear" w:color="auto" w:fill="FFFFFF" w:themeFill="background1"/>
        <w:ind w:left="720"/>
        <w:jc w:val="center"/>
      </w:pPr>
    </w:p>
    <w:p w14:paraId="46615993" w14:textId="1FB62875" w:rsidR="007B1F79" w:rsidRDefault="007B1F79" w:rsidP="0040597E">
      <w:pPr>
        <w:pStyle w:val="Bezproreda"/>
        <w:shd w:val="clear" w:color="auto" w:fill="FFFFFF" w:themeFill="background1"/>
        <w:ind w:left="720"/>
        <w:jc w:val="center"/>
      </w:pPr>
    </w:p>
    <w:p w14:paraId="2A3AD1FE" w14:textId="2D96CDAC" w:rsidR="007B1F79" w:rsidRDefault="007B1F79" w:rsidP="0040597E">
      <w:pPr>
        <w:pStyle w:val="Bezproreda"/>
        <w:shd w:val="clear" w:color="auto" w:fill="FFFFFF" w:themeFill="background1"/>
        <w:ind w:left="720"/>
        <w:jc w:val="center"/>
      </w:pPr>
    </w:p>
    <w:p w14:paraId="24572712" w14:textId="4CBE520D" w:rsidR="00376616" w:rsidRPr="00376616" w:rsidRDefault="00E3150E" w:rsidP="00376616">
      <w:pPr>
        <w:spacing w:line="259" w:lineRule="auto"/>
        <w:ind w:left="360"/>
        <w:jc w:val="both"/>
        <w:rPr>
          <w:rFonts w:ascii="Arial" w:hAnsi="Arial" w:cs="Arial"/>
          <w:szCs w:val="24"/>
        </w:rPr>
      </w:pPr>
      <w:r w:rsidRPr="00376616">
        <w:rPr>
          <w:rFonts w:ascii="Arial" w:hAnsi="Arial" w:cs="Arial"/>
          <w:b/>
          <w:szCs w:val="24"/>
        </w:rPr>
        <w:t>2. POSEBNI DIO</w:t>
      </w:r>
      <w:r w:rsidR="00376616" w:rsidRPr="00376616">
        <w:rPr>
          <w:rFonts w:ascii="Arial" w:hAnsi="Arial" w:cs="Arial"/>
          <w:b/>
          <w:szCs w:val="24"/>
        </w:rPr>
        <w:t xml:space="preserve"> </w:t>
      </w:r>
      <w:r w:rsidR="00376616" w:rsidRPr="00376616">
        <w:rPr>
          <w:rFonts w:ascii="Arial" w:hAnsi="Arial" w:cs="Arial"/>
          <w:b/>
          <w:bCs/>
          <w:szCs w:val="24"/>
        </w:rPr>
        <w:t>GODIŠNJEG IZVJEŠTAJA O IZVRŠENJU FINANCIJSKOG PLANA</w:t>
      </w:r>
    </w:p>
    <w:p w14:paraId="3177F4F6" w14:textId="3E829E6D" w:rsidR="00E3150E" w:rsidRPr="00F34F18" w:rsidRDefault="00E3150E" w:rsidP="00E22A16">
      <w:pPr>
        <w:pStyle w:val="Bezproreda"/>
        <w:shd w:val="clear" w:color="auto" w:fill="FFFFFF" w:themeFill="background1"/>
        <w:ind w:left="720"/>
        <w:jc w:val="left"/>
        <w:rPr>
          <w:b/>
        </w:rPr>
      </w:pPr>
    </w:p>
    <w:p w14:paraId="5B03A233" w14:textId="77777777" w:rsidR="00E3150E" w:rsidRDefault="00E3150E" w:rsidP="00E22A16">
      <w:pPr>
        <w:pStyle w:val="Bezproreda"/>
        <w:shd w:val="clear" w:color="auto" w:fill="FFFFFF" w:themeFill="background1"/>
        <w:ind w:left="720"/>
        <w:jc w:val="left"/>
      </w:pPr>
    </w:p>
    <w:p w14:paraId="0BA4665A" w14:textId="319CE48E" w:rsidR="008F2C14" w:rsidRPr="002A0990" w:rsidRDefault="00E3150E" w:rsidP="008A18F0">
      <w:pPr>
        <w:jc w:val="both"/>
        <w:rPr>
          <w:sz w:val="22"/>
        </w:rPr>
      </w:pPr>
      <w:r w:rsidRPr="002A0990">
        <w:rPr>
          <w:rFonts w:ascii="Arial" w:hAnsi="Arial" w:cs="Arial"/>
          <w:sz w:val="22"/>
        </w:rPr>
        <w:t>Posebni dio godišnjeg izvještaja o izvršenju financijskog plana Interpretacijskog centra Vlaški puti za 202</w:t>
      </w:r>
      <w:r w:rsidR="00EC43BC">
        <w:rPr>
          <w:rFonts w:ascii="Arial" w:hAnsi="Arial" w:cs="Arial"/>
          <w:sz w:val="22"/>
        </w:rPr>
        <w:t>5</w:t>
      </w:r>
      <w:r w:rsidRPr="002A0990">
        <w:rPr>
          <w:rFonts w:ascii="Arial" w:hAnsi="Arial" w:cs="Arial"/>
          <w:sz w:val="22"/>
        </w:rPr>
        <w:t xml:space="preserve">. godinu sadrži </w:t>
      </w:r>
      <w:r w:rsidR="007846FC" w:rsidRPr="002A0990">
        <w:rPr>
          <w:rFonts w:ascii="Arial" w:hAnsi="Arial" w:cs="Arial"/>
          <w:sz w:val="22"/>
        </w:rPr>
        <w:t xml:space="preserve"> Izvještaj </w:t>
      </w:r>
      <w:r w:rsidRPr="002A0990">
        <w:rPr>
          <w:rFonts w:ascii="Arial" w:hAnsi="Arial" w:cs="Arial"/>
          <w:sz w:val="22"/>
        </w:rPr>
        <w:t xml:space="preserve"> po programskoj klasifikaciji na razini podskupine i odjeljka ekonomske klasifikacije. </w:t>
      </w:r>
      <w:r w:rsidR="007846FC" w:rsidRPr="002A0990">
        <w:rPr>
          <w:rFonts w:ascii="Arial" w:hAnsi="Arial" w:cs="Arial"/>
          <w:sz w:val="22"/>
        </w:rPr>
        <w:t xml:space="preserve">Programska klasifikacija sadrži rashode i izdatke iskazane kroz aktivnosti i projekte, koji su povezani u programe </w:t>
      </w:r>
      <w:r w:rsidR="009D2C14">
        <w:rPr>
          <w:rFonts w:ascii="Arial" w:hAnsi="Arial" w:cs="Arial"/>
          <w:sz w:val="22"/>
        </w:rPr>
        <w:t>na temelju</w:t>
      </w:r>
      <w:r w:rsidR="007846FC" w:rsidRPr="002A0990">
        <w:rPr>
          <w:rFonts w:ascii="Arial" w:hAnsi="Arial" w:cs="Arial"/>
          <w:sz w:val="22"/>
        </w:rPr>
        <w:t xml:space="preserve"> zajedničkih ciljeva. Posebni dio izvješća o izvršenju Financijskog plana sadrži podatke o planu i izvršenju za razdoblje 1-</w:t>
      </w:r>
      <w:r w:rsidR="00DE7B46" w:rsidRPr="002A0990">
        <w:rPr>
          <w:rFonts w:ascii="Arial" w:hAnsi="Arial" w:cs="Arial"/>
          <w:sz w:val="22"/>
        </w:rPr>
        <w:t>12</w:t>
      </w:r>
      <w:r w:rsidR="007846FC" w:rsidRPr="002A0990">
        <w:rPr>
          <w:rFonts w:ascii="Arial" w:hAnsi="Arial" w:cs="Arial"/>
          <w:sz w:val="22"/>
        </w:rPr>
        <w:t>/202</w:t>
      </w:r>
      <w:r w:rsidR="00EC43BC">
        <w:rPr>
          <w:rFonts w:ascii="Arial" w:hAnsi="Arial" w:cs="Arial"/>
          <w:sz w:val="22"/>
        </w:rPr>
        <w:t>5</w:t>
      </w:r>
      <w:r w:rsidR="00E27010" w:rsidRPr="002A0990">
        <w:rPr>
          <w:rFonts w:ascii="Arial" w:hAnsi="Arial" w:cs="Arial"/>
          <w:sz w:val="22"/>
        </w:rPr>
        <w:t>.</w:t>
      </w:r>
    </w:p>
    <w:p w14:paraId="2C706FD9" w14:textId="68E3F294" w:rsidR="009169D6" w:rsidRPr="009169D6" w:rsidRDefault="009169D6" w:rsidP="009169D6">
      <w:pPr>
        <w:pStyle w:val="Odlomakpopisa"/>
        <w:numPr>
          <w:ilvl w:val="1"/>
          <w:numId w:val="23"/>
        </w:numPr>
        <w:spacing w:line="259" w:lineRule="auto"/>
        <w:jc w:val="both"/>
        <w:rPr>
          <w:rFonts w:ascii="Arial" w:hAnsi="Arial" w:cs="Arial"/>
          <w:sz w:val="22"/>
        </w:rPr>
      </w:pPr>
      <w:r w:rsidRPr="009169D6">
        <w:rPr>
          <w:rFonts w:ascii="Arial" w:hAnsi="Arial" w:cs="Arial"/>
          <w:sz w:val="22"/>
        </w:rPr>
        <w:t>Godišnji izvještaj o izvršenju financijskog plana po programskoj klasifikaciji</w:t>
      </w:r>
    </w:p>
    <w:p w14:paraId="44FB0E84" w14:textId="76178F1B" w:rsidR="008F2C14" w:rsidRPr="00AC7C7E" w:rsidRDefault="008F2C14" w:rsidP="008F2C14">
      <w:pPr>
        <w:pStyle w:val="Bezproreda"/>
        <w:shd w:val="clear" w:color="auto" w:fill="FFFFFF" w:themeFill="background1"/>
        <w:ind w:left="720"/>
        <w:jc w:val="left"/>
        <w:rPr>
          <w:b/>
        </w:rPr>
      </w:pPr>
    </w:p>
    <w:p w14:paraId="00DA0862" w14:textId="639D1AD1" w:rsidR="008F2C14" w:rsidRDefault="009169D6" w:rsidP="008F2C14">
      <w:pPr>
        <w:pStyle w:val="Bezproreda"/>
        <w:shd w:val="clear" w:color="auto" w:fill="FFFFFF" w:themeFill="background1"/>
        <w:ind w:left="720"/>
        <w:jc w:val="center"/>
      </w:pPr>
      <w:r>
        <w:t>z</w:t>
      </w:r>
      <w:r w:rsidR="008F2C14">
        <w:t>a razdoblje od 1.</w:t>
      </w:r>
      <w:r w:rsidR="007846FC">
        <w:t xml:space="preserve">siječnja </w:t>
      </w:r>
      <w:r w:rsidR="008F2C14">
        <w:t>202</w:t>
      </w:r>
      <w:r w:rsidR="00F632AA">
        <w:t>5</w:t>
      </w:r>
      <w:r w:rsidR="008F2C14">
        <w:t xml:space="preserve">. do </w:t>
      </w:r>
      <w:r w:rsidR="007846FC">
        <w:t>3</w:t>
      </w:r>
      <w:r w:rsidR="007C0CBB">
        <w:t>1</w:t>
      </w:r>
      <w:r w:rsidR="007846FC">
        <w:t xml:space="preserve">. </w:t>
      </w:r>
      <w:r w:rsidR="007C0CBB">
        <w:t>prosinca</w:t>
      </w:r>
      <w:r w:rsidR="007846FC">
        <w:t xml:space="preserve"> 202</w:t>
      </w:r>
      <w:r w:rsidR="00F632AA">
        <w:t>5</w:t>
      </w:r>
      <w:r w:rsidR="007846FC">
        <w:t>.</w:t>
      </w:r>
    </w:p>
    <w:p w14:paraId="736FF3A9" w14:textId="73901D3A" w:rsidR="00F632AA" w:rsidRDefault="00F632AA" w:rsidP="00537D06">
      <w:pPr>
        <w:pStyle w:val="Bezproreda"/>
        <w:shd w:val="clear" w:color="auto" w:fill="FFFFFF" w:themeFill="background1"/>
        <w:jc w:val="left"/>
      </w:pPr>
    </w:p>
    <w:tbl>
      <w:tblPr>
        <w:tblW w:w="996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861"/>
        <w:gridCol w:w="3933"/>
        <w:gridCol w:w="1298"/>
        <w:gridCol w:w="1298"/>
        <w:gridCol w:w="1006"/>
      </w:tblGrid>
      <w:tr w:rsidR="00F632AA" w:rsidRPr="00ED1580" w14:paraId="07A5E223" w14:textId="77777777" w:rsidTr="008B0D10">
        <w:trPr>
          <w:trHeight w:val="63"/>
        </w:trPr>
        <w:tc>
          <w:tcPr>
            <w:tcW w:w="644" w:type="dxa"/>
            <w:shd w:val="clear" w:color="000000" w:fill="969696"/>
            <w:noWrap/>
            <w:vAlign w:val="bottom"/>
            <w:hideMark/>
          </w:tcPr>
          <w:p w14:paraId="28E398CD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969696"/>
            <w:noWrap/>
            <w:vAlign w:val="bottom"/>
            <w:hideMark/>
          </w:tcPr>
          <w:p w14:paraId="3E69B46F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Organizacijska klasifikacija</w:t>
            </w:r>
          </w:p>
        </w:tc>
        <w:tc>
          <w:tcPr>
            <w:tcW w:w="1298" w:type="dxa"/>
            <w:shd w:val="clear" w:color="000000" w:fill="969696"/>
            <w:noWrap/>
            <w:vAlign w:val="bottom"/>
            <w:hideMark/>
          </w:tcPr>
          <w:p w14:paraId="783BD67F" w14:textId="77777777" w:rsidR="00F632AA" w:rsidRPr="00ED1580" w:rsidRDefault="00F632AA" w:rsidP="007E6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98" w:type="dxa"/>
            <w:shd w:val="clear" w:color="000000" w:fill="969696"/>
            <w:noWrap/>
            <w:vAlign w:val="bottom"/>
            <w:hideMark/>
          </w:tcPr>
          <w:p w14:paraId="2AA0AD9D" w14:textId="77777777" w:rsidR="00F632AA" w:rsidRPr="00ED1580" w:rsidRDefault="00F632AA" w:rsidP="007E6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shd w:val="clear" w:color="000000" w:fill="969696"/>
            <w:noWrap/>
            <w:vAlign w:val="bottom"/>
            <w:hideMark/>
          </w:tcPr>
          <w:p w14:paraId="71313407" w14:textId="77777777" w:rsidR="00F632AA" w:rsidRPr="00ED1580" w:rsidRDefault="00F632AA" w:rsidP="007E6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632AA" w:rsidRPr="00ED1580" w14:paraId="03833929" w14:textId="77777777" w:rsidTr="008B0D10">
        <w:trPr>
          <w:trHeight w:val="63"/>
        </w:trPr>
        <w:tc>
          <w:tcPr>
            <w:tcW w:w="644" w:type="dxa"/>
            <w:shd w:val="clear" w:color="000000" w:fill="969696"/>
            <w:noWrap/>
            <w:vAlign w:val="bottom"/>
            <w:hideMark/>
          </w:tcPr>
          <w:p w14:paraId="01E11A48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969696"/>
            <w:noWrap/>
            <w:vAlign w:val="bottom"/>
            <w:hideMark/>
          </w:tcPr>
          <w:p w14:paraId="33B9ED29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Izvori</w:t>
            </w:r>
          </w:p>
        </w:tc>
        <w:tc>
          <w:tcPr>
            <w:tcW w:w="1298" w:type="dxa"/>
            <w:shd w:val="clear" w:color="000000" w:fill="969696"/>
            <w:noWrap/>
            <w:vAlign w:val="bottom"/>
            <w:hideMark/>
          </w:tcPr>
          <w:p w14:paraId="7ECC0FCA" w14:textId="77777777" w:rsidR="00F632AA" w:rsidRPr="00ED1580" w:rsidRDefault="00F632AA" w:rsidP="007E6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98" w:type="dxa"/>
            <w:shd w:val="clear" w:color="000000" w:fill="969696"/>
            <w:noWrap/>
            <w:vAlign w:val="bottom"/>
            <w:hideMark/>
          </w:tcPr>
          <w:p w14:paraId="7586BDAD" w14:textId="77777777" w:rsidR="00F632AA" w:rsidRPr="00ED1580" w:rsidRDefault="00F632AA" w:rsidP="007E6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shd w:val="clear" w:color="000000" w:fill="969696"/>
            <w:noWrap/>
            <w:vAlign w:val="bottom"/>
            <w:hideMark/>
          </w:tcPr>
          <w:p w14:paraId="4D279B72" w14:textId="77777777" w:rsidR="00F632AA" w:rsidRPr="00ED1580" w:rsidRDefault="00F632AA" w:rsidP="007E6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F632AA" w:rsidRPr="00ED1580" w14:paraId="2B86D2DC" w14:textId="77777777" w:rsidTr="008B0D10">
        <w:trPr>
          <w:trHeight w:val="63"/>
        </w:trPr>
        <w:tc>
          <w:tcPr>
            <w:tcW w:w="644" w:type="dxa"/>
            <w:shd w:val="clear" w:color="000000" w:fill="969696"/>
            <w:noWrap/>
            <w:vAlign w:val="bottom"/>
            <w:hideMark/>
          </w:tcPr>
          <w:p w14:paraId="5C349E14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4" w:type="dxa"/>
            <w:shd w:val="clear" w:color="000000" w:fill="969696"/>
            <w:noWrap/>
            <w:vAlign w:val="bottom"/>
            <w:hideMark/>
          </w:tcPr>
          <w:p w14:paraId="69A14A57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Projekt/Aktivnost</w:t>
            </w:r>
          </w:p>
        </w:tc>
        <w:tc>
          <w:tcPr>
            <w:tcW w:w="3933" w:type="dxa"/>
            <w:shd w:val="clear" w:color="000000" w:fill="969696"/>
            <w:noWrap/>
            <w:vAlign w:val="bottom"/>
            <w:hideMark/>
          </w:tcPr>
          <w:p w14:paraId="6BADED14" w14:textId="77777777" w:rsidR="00F632AA" w:rsidRPr="00ED1580" w:rsidRDefault="00F632AA" w:rsidP="007E6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VRSTA RASHODA I IZDATAKA</w:t>
            </w:r>
          </w:p>
        </w:tc>
        <w:tc>
          <w:tcPr>
            <w:tcW w:w="1298" w:type="dxa"/>
            <w:shd w:val="clear" w:color="000000" w:fill="969696"/>
            <w:noWrap/>
            <w:vAlign w:val="bottom"/>
            <w:hideMark/>
          </w:tcPr>
          <w:p w14:paraId="0A6D13AD" w14:textId="77777777" w:rsidR="00F632AA" w:rsidRPr="00ED1580" w:rsidRDefault="00F632AA" w:rsidP="007E6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 Rebalans 2025.</w:t>
            </w:r>
          </w:p>
        </w:tc>
        <w:tc>
          <w:tcPr>
            <w:tcW w:w="1298" w:type="dxa"/>
            <w:shd w:val="clear" w:color="000000" w:fill="969696"/>
            <w:noWrap/>
            <w:vAlign w:val="bottom"/>
            <w:hideMark/>
          </w:tcPr>
          <w:p w14:paraId="15988D9F" w14:textId="77777777" w:rsidR="00F632AA" w:rsidRPr="00ED1580" w:rsidRDefault="00F632AA" w:rsidP="007E6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Izvršenje 2025</w:t>
            </w:r>
          </w:p>
        </w:tc>
        <w:tc>
          <w:tcPr>
            <w:tcW w:w="980" w:type="dxa"/>
            <w:shd w:val="clear" w:color="000000" w:fill="969696"/>
            <w:noWrap/>
            <w:vAlign w:val="bottom"/>
            <w:hideMark/>
          </w:tcPr>
          <w:p w14:paraId="187DC1F7" w14:textId="77777777" w:rsidR="00F632AA" w:rsidRPr="00ED1580" w:rsidRDefault="00F632AA" w:rsidP="007E6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Indeks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2/1</w:t>
            </w:r>
          </w:p>
        </w:tc>
      </w:tr>
      <w:tr w:rsidR="00F632AA" w:rsidRPr="00ED1580" w14:paraId="35210BA6" w14:textId="77777777" w:rsidTr="008B0D10">
        <w:trPr>
          <w:trHeight w:val="63"/>
        </w:trPr>
        <w:tc>
          <w:tcPr>
            <w:tcW w:w="6392" w:type="dxa"/>
            <w:gridSpan w:val="3"/>
            <w:shd w:val="clear" w:color="000000" w:fill="969696"/>
            <w:noWrap/>
            <w:vAlign w:val="bottom"/>
            <w:hideMark/>
          </w:tcPr>
          <w:p w14:paraId="6E540940" w14:textId="77777777" w:rsidR="00F632AA" w:rsidRPr="00ED1580" w:rsidRDefault="00F632AA" w:rsidP="007E6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98" w:type="dxa"/>
            <w:shd w:val="clear" w:color="000000" w:fill="969696"/>
            <w:noWrap/>
            <w:vAlign w:val="bottom"/>
            <w:hideMark/>
          </w:tcPr>
          <w:p w14:paraId="28F3D975" w14:textId="77777777" w:rsidR="00F632AA" w:rsidRPr="00ED1580" w:rsidRDefault="00F632AA" w:rsidP="007E6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98" w:type="dxa"/>
            <w:shd w:val="clear" w:color="000000" w:fill="969696"/>
            <w:noWrap/>
            <w:vAlign w:val="bottom"/>
            <w:hideMark/>
          </w:tcPr>
          <w:p w14:paraId="2DEA2510" w14:textId="77777777" w:rsidR="00F632AA" w:rsidRPr="00ED1580" w:rsidRDefault="00F632AA" w:rsidP="007E6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80" w:type="dxa"/>
            <w:shd w:val="clear" w:color="000000" w:fill="969696"/>
            <w:noWrap/>
            <w:vAlign w:val="bottom"/>
            <w:hideMark/>
          </w:tcPr>
          <w:p w14:paraId="0A9C9C33" w14:textId="77777777" w:rsidR="00F632AA" w:rsidRPr="00ED1580" w:rsidRDefault="00F632AA" w:rsidP="007E6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F632AA" w:rsidRPr="00ED1580" w14:paraId="792B806D" w14:textId="77777777" w:rsidTr="008B0D10">
        <w:trPr>
          <w:trHeight w:val="63"/>
        </w:trPr>
        <w:tc>
          <w:tcPr>
            <w:tcW w:w="644" w:type="dxa"/>
            <w:shd w:val="clear" w:color="000000" w:fill="9999FF"/>
            <w:noWrap/>
            <w:vAlign w:val="bottom"/>
            <w:hideMark/>
          </w:tcPr>
          <w:p w14:paraId="77A0B6A4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9999FF"/>
            <w:noWrap/>
            <w:vAlign w:val="bottom"/>
            <w:hideMark/>
          </w:tcPr>
          <w:p w14:paraId="6B8BB06E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GLAVA 00203 INTERPRETACIJSKI CENTAR VLAŠKI PUTI</w:t>
            </w:r>
          </w:p>
        </w:tc>
        <w:tc>
          <w:tcPr>
            <w:tcW w:w="1298" w:type="dxa"/>
            <w:shd w:val="clear" w:color="000000" w:fill="9999FF"/>
            <w:noWrap/>
            <w:vAlign w:val="bottom"/>
            <w:hideMark/>
          </w:tcPr>
          <w:p w14:paraId="68FC59BB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72,955.40</w:t>
            </w:r>
          </w:p>
        </w:tc>
        <w:tc>
          <w:tcPr>
            <w:tcW w:w="1298" w:type="dxa"/>
            <w:shd w:val="clear" w:color="000000" w:fill="9999FF"/>
            <w:noWrap/>
            <w:vAlign w:val="bottom"/>
            <w:hideMark/>
          </w:tcPr>
          <w:p w14:paraId="340B38D2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67,182.11</w:t>
            </w:r>
          </w:p>
        </w:tc>
        <w:tc>
          <w:tcPr>
            <w:tcW w:w="980" w:type="dxa"/>
            <w:shd w:val="clear" w:color="000000" w:fill="9999FF"/>
            <w:noWrap/>
            <w:vAlign w:val="bottom"/>
            <w:hideMark/>
          </w:tcPr>
          <w:p w14:paraId="2D8F9A9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92.09%</w:t>
            </w:r>
          </w:p>
        </w:tc>
      </w:tr>
      <w:tr w:rsidR="00F632AA" w:rsidRPr="00ED1580" w14:paraId="214E2CC5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14EADE6B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11637C6D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1. OPĆI PRIHODI I PRIMICI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30A91500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56,076.00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61976BB4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51,597.73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090BB5E8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92.01%</w:t>
            </w:r>
          </w:p>
        </w:tc>
      </w:tr>
      <w:tr w:rsidR="00F632AA" w:rsidRPr="00ED1580" w14:paraId="22661A7B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4F1850D7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72E228AF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1.1.0 OPĆI PRIHODI I PRIMICI PRORAČUNA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693FC6F2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56,076.00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4EC0180A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51,597.73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3A672794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92.01%</w:t>
            </w:r>
          </w:p>
        </w:tc>
      </w:tr>
      <w:tr w:rsidR="00F632AA" w:rsidRPr="00ED1580" w14:paraId="0F5937A7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42129FA0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5F8286C7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3. VLASTITI PRIHODI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2D796F57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26B1176D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72DC7AA0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0.00%</w:t>
            </w:r>
          </w:p>
        </w:tc>
      </w:tr>
      <w:tr w:rsidR="00F632AA" w:rsidRPr="00ED1580" w14:paraId="7145ED6D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6CB8A7F4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031034E1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3.2.1922 VLASTITI PRIHODI VLAŠKI PUTI - VIŠAK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1FC94B52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085B4962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311AEEB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0.00%</w:t>
            </w:r>
          </w:p>
        </w:tc>
      </w:tr>
      <w:tr w:rsidR="00F632AA" w:rsidRPr="00ED1580" w14:paraId="12782FF2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22B258D9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2F074630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4. PRIHODI ZA POSEBNE NAMJENE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451C729C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4,283.40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6F6595F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2,327.77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2737605A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54.34%</w:t>
            </w:r>
          </w:p>
        </w:tc>
      </w:tr>
      <w:tr w:rsidR="00F632AA" w:rsidRPr="00ED1580" w14:paraId="57EA9E08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27D402D3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0B7D1D11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4.4.1 PRIHODI ZA POSEBNE NAMJENE - VLAŠKI PUTI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59D0C26E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1,690.00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38BFEB13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587.59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35AA0E12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34.77%</w:t>
            </w:r>
          </w:p>
        </w:tc>
      </w:tr>
      <w:tr w:rsidR="00F632AA" w:rsidRPr="00ED1580" w14:paraId="2B600AA2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5EBD7C69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265AAA61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4.4.1922 PRIHODI ZA POSEBNE NAMJENE VLAŠ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K</w:t>
            </w: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 PUTI - VIŠAK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7F4703BB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2,593.40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62671B7C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1,740.18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28965C4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67.10%</w:t>
            </w:r>
          </w:p>
        </w:tc>
      </w:tr>
      <w:tr w:rsidR="00F632AA" w:rsidRPr="00ED1580" w14:paraId="62B88CCE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1E84AAB7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6295FB5B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5. POMOĆI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2ED8B9D6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12,593.00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4B5E102C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13,256.61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729F421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105.27%</w:t>
            </w:r>
          </w:p>
        </w:tc>
      </w:tr>
      <w:tr w:rsidR="00F632AA" w:rsidRPr="00ED1580" w14:paraId="57DBEA38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5CFEAA41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30D65D46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5.2.2 Tekuće pomoći iz Držav. prorač.PK Prorač.JLp(r)S-Vlaški puti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2AC52238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7,150.00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67BE8560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7,150.00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130F9536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100.00%</w:t>
            </w:r>
          </w:p>
        </w:tc>
      </w:tr>
      <w:tr w:rsidR="00F632AA" w:rsidRPr="00ED1580" w14:paraId="3391D2BB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2AB549A0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07D64C74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5.2.3 TEKUĆE POMOĆI PK IZ PRORAČ.JLP(R)S KOJI IM NIJE NADLEŽAN -VP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433FC300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3,500.00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0028AE12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3,500.00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33AA9E90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100.00%</w:t>
            </w:r>
          </w:p>
        </w:tc>
      </w:tr>
      <w:tr w:rsidR="00F632AA" w:rsidRPr="00ED1580" w14:paraId="2E79BB4E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7C4E1EAE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5BFBF5BE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5.4.3 KAPIT.POMOĆI PK IZ PRORAČ. JLP(r)S KOJI IM NIJE NADL.-VLAŠKI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6C0F4FAA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1,943.00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22701E34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2,606.61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424364AB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134.15%</w:t>
            </w:r>
          </w:p>
        </w:tc>
      </w:tr>
      <w:tr w:rsidR="00F632AA" w:rsidRPr="00ED1580" w14:paraId="10D364B3" w14:textId="77777777" w:rsidTr="008B0D10">
        <w:trPr>
          <w:trHeight w:val="63"/>
        </w:trPr>
        <w:tc>
          <w:tcPr>
            <w:tcW w:w="644" w:type="dxa"/>
            <w:shd w:val="clear" w:color="000000" w:fill="FF9900"/>
            <w:noWrap/>
            <w:vAlign w:val="bottom"/>
            <w:hideMark/>
          </w:tcPr>
          <w:p w14:paraId="0F13683F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4" w:type="dxa"/>
            <w:shd w:val="clear" w:color="000000" w:fill="FF9900"/>
            <w:noWrap/>
            <w:vAlign w:val="bottom"/>
            <w:hideMark/>
          </w:tcPr>
          <w:p w14:paraId="7692E23E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8001</w:t>
            </w:r>
          </w:p>
        </w:tc>
        <w:tc>
          <w:tcPr>
            <w:tcW w:w="3933" w:type="dxa"/>
            <w:shd w:val="clear" w:color="000000" w:fill="FF9900"/>
            <w:noWrap/>
            <w:vAlign w:val="bottom"/>
            <w:hideMark/>
          </w:tcPr>
          <w:p w14:paraId="7BFE6EEA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Program: PROMICANJE KULTURE</w:t>
            </w:r>
          </w:p>
        </w:tc>
        <w:tc>
          <w:tcPr>
            <w:tcW w:w="1298" w:type="dxa"/>
            <w:shd w:val="clear" w:color="000000" w:fill="FF9900"/>
            <w:noWrap/>
            <w:vAlign w:val="bottom"/>
            <w:hideMark/>
          </w:tcPr>
          <w:p w14:paraId="6AF1F3BA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72,955.40</w:t>
            </w:r>
          </w:p>
        </w:tc>
        <w:tc>
          <w:tcPr>
            <w:tcW w:w="1298" w:type="dxa"/>
            <w:shd w:val="clear" w:color="000000" w:fill="FF9900"/>
            <w:noWrap/>
            <w:vAlign w:val="bottom"/>
            <w:hideMark/>
          </w:tcPr>
          <w:p w14:paraId="5F2015FD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67,182.11</w:t>
            </w:r>
          </w:p>
        </w:tc>
        <w:tc>
          <w:tcPr>
            <w:tcW w:w="980" w:type="dxa"/>
            <w:shd w:val="clear" w:color="000000" w:fill="FF9900"/>
            <w:noWrap/>
            <w:vAlign w:val="bottom"/>
            <w:hideMark/>
          </w:tcPr>
          <w:p w14:paraId="6CF868A5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92.09%</w:t>
            </w:r>
          </w:p>
        </w:tc>
      </w:tr>
      <w:tr w:rsidR="00F632AA" w:rsidRPr="00ED1580" w14:paraId="3B0C4EF9" w14:textId="77777777" w:rsidTr="008B0D10">
        <w:trPr>
          <w:trHeight w:val="63"/>
        </w:trPr>
        <w:tc>
          <w:tcPr>
            <w:tcW w:w="644" w:type="dxa"/>
            <w:shd w:val="clear" w:color="000000" w:fill="FFFF99"/>
            <w:noWrap/>
            <w:vAlign w:val="bottom"/>
            <w:hideMark/>
          </w:tcPr>
          <w:p w14:paraId="18CAEA17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4" w:type="dxa"/>
            <w:shd w:val="clear" w:color="000000" w:fill="FFFF99"/>
            <w:noWrap/>
            <w:vAlign w:val="bottom"/>
            <w:hideMark/>
          </w:tcPr>
          <w:p w14:paraId="3B833DA3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A800101</w:t>
            </w:r>
          </w:p>
        </w:tc>
        <w:tc>
          <w:tcPr>
            <w:tcW w:w="3933" w:type="dxa"/>
            <w:shd w:val="clear" w:color="000000" w:fill="FFFF99"/>
            <w:noWrap/>
            <w:vAlign w:val="bottom"/>
            <w:hideMark/>
          </w:tcPr>
          <w:p w14:paraId="34E0626B" w14:textId="010AB70F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Aktivnost: REDOVNA DJELATNOST INTERP</w:t>
            </w:r>
            <w:r w:rsidR="00B62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</w:t>
            </w: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ETACIJSKI CENTAR VLAŠKI PUTI</w:t>
            </w:r>
          </w:p>
        </w:tc>
        <w:tc>
          <w:tcPr>
            <w:tcW w:w="1298" w:type="dxa"/>
            <w:shd w:val="clear" w:color="000000" w:fill="FFFF99"/>
            <w:noWrap/>
            <w:vAlign w:val="bottom"/>
            <w:hideMark/>
          </w:tcPr>
          <w:p w14:paraId="1F2C724C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57,057.40</w:t>
            </w:r>
          </w:p>
        </w:tc>
        <w:tc>
          <w:tcPr>
            <w:tcW w:w="1298" w:type="dxa"/>
            <w:shd w:val="clear" w:color="000000" w:fill="FFFF99"/>
            <w:noWrap/>
            <w:vAlign w:val="bottom"/>
            <w:hideMark/>
          </w:tcPr>
          <w:p w14:paraId="072995C5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50,913.08</w:t>
            </w:r>
          </w:p>
        </w:tc>
        <w:tc>
          <w:tcPr>
            <w:tcW w:w="980" w:type="dxa"/>
            <w:shd w:val="clear" w:color="000000" w:fill="FFFF99"/>
            <w:noWrap/>
            <w:vAlign w:val="bottom"/>
            <w:hideMark/>
          </w:tcPr>
          <w:p w14:paraId="616356F8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89.23%</w:t>
            </w:r>
          </w:p>
        </w:tc>
      </w:tr>
      <w:tr w:rsidR="00F632AA" w:rsidRPr="00ED1580" w14:paraId="42DD4376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623E68FE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0F4EBD81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1. OPĆI PRIHODI I PRIMICI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5AC8C08C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54,281.00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628FAE06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50,005.29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3D13FCFD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92.12%</w:t>
            </w:r>
          </w:p>
        </w:tc>
      </w:tr>
      <w:tr w:rsidR="00F632AA" w:rsidRPr="00ED1580" w14:paraId="19B0B8AB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3D71DFA2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549D148E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1.1.0 OPĆI PRIHODI I PRIMICI PRORAČUNA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292A691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54,281.00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5B0EB1EE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50,005.29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5DCCED1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92.12%</w:t>
            </w:r>
          </w:p>
        </w:tc>
      </w:tr>
      <w:tr w:rsidR="00F632AA" w:rsidRPr="00ED1580" w14:paraId="21D964D9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2BA930C5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14C0B555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3933" w:type="dxa"/>
            <w:noWrap/>
            <w:vAlign w:val="bottom"/>
            <w:hideMark/>
          </w:tcPr>
          <w:p w14:paraId="3FF94775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Rashodi za zaposlene</w:t>
            </w:r>
          </w:p>
        </w:tc>
        <w:tc>
          <w:tcPr>
            <w:tcW w:w="1298" w:type="dxa"/>
            <w:noWrap/>
            <w:vAlign w:val="bottom"/>
            <w:hideMark/>
          </w:tcPr>
          <w:p w14:paraId="59373B94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41,993.00</w:t>
            </w:r>
          </w:p>
        </w:tc>
        <w:tc>
          <w:tcPr>
            <w:tcW w:w="1298" w:type="dxa"/>
            <w:noWrap/>
            <w:vAlign w:val="bottom"/>
            <w:hideMark/>
          </w:tcPr>
          <w:p w14:paraId="36F58212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40,359.47</w:t>
            </w:r>
          </w:p>
        </w:tc>
        <w:tc>
          <w:tcPr>
            <w:tcW w:w="980" w:type="dxa"/>
            <w:noWrap/>
            <w:vAlign w:val="bottom"/>
            <w:hideMark/>
          </w:tcPr>
          <w:p w14:paraId="038BB633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96.11%</w:t>
            </w:r>
          </w:p>
        </w:tc>
      </w:tr>
      <w:tr w:rsidR="00F632AA" w:rsidRPr="00ED1580" w14:paraId="40AB7B19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2BFE93A7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607337B2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3111</w:t>
            </w:r>
          </w:p>
        </w:tc>
        <w:tc>
          <w:tcPr>
            <w:tcW w:w="3933" w:type="dxa"/>
            <w:noWrap/>
            <w:vAlign w:val="bottom"/>
            <w:hideMark/>
          </w:tcPr>
          <w:p w14:paraId="3F2C9330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Plaće za redovan rad</w:t>
            </w:r>
          </w:p>
        </w:tc>
        <w:tc>
          <w:tcPr>
            <w:tcW w:w="1298" w:type="dxa"/>
            <w:noWrap/>
            <w:vAlign w:val="bottom"/>
            <w:hideMark/>
          </w:tcPr>
          <w:p w14:paraId="2C176504" w14:textId="317FC76F" w:rsidR="00F632AA" w:rsidRPr="00ED1580" w:rsidRDefault="00423D78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26.192,00</w:t>
            </w:r>
          </w:p>
        </w:tc>
        <w:tc>
          <w:tcPr>
            <w:tcW w:w="1298" w:type="dxa"/>
            <w:noWrap/>
            <w:vAlign w:val="bottom"/>
            <w:hideMark/>
          </w:tcPr>
          <w:p w14:paraId="188B165C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26,192.00</w:t>
            </w:r>
          </w:p>
        </w:tc>
        <w:tc>
          <w:tcPr>
            <w:tcW w:w="980" w:type="dxa"/>
            <w:noWrap/>
            <w:vAlign w:val="bottom"/>
            <w:hideMark/>
          </w:tcPr>
          <w:p w14:paraId="2AE57AF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346204F2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0D9E435B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0B8AA24C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3113</w:t>
            </w:r>
          </w:p>
        </w:tc>
        <w:tc>
          <w:tcPr>
            <w:tcW w:w="3933" w:type="dxa"/>
            <w:noWrap/>
            <w:vAlign w:val="bottom"/>
            <w:hideMark/>
          </w:tcPr>
          <w:p w14:paraId="608105D7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Plaće za prekovremeni rad</w:t>
            </w:r>
          </w:p>
        </w:tc>
        <w:tc>
          <w:tcPr>
            <w:tcW w:w="1298" w:type="dxa"/>
            <w:noWrap/>
            <w:vAlign w:val="bottom"/>
            <w:hideMark/>
          </w:tcPr>
          <w:p w14:paraId="50C9E6D7" w14:textId="36E66AB5" w:rsidR="00F632AA" w:rsidRPr="00ED1580" w:rsidRDefault="00423D78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4.900,00</w:t>
            </w:r>
          </w:p>
        </w:tc>
        <w:tc>
          <w:tcPr>
            <w:tcW w:w="1298" w:type="dxa"/>
            <w:noWrap/>
            <w:vAlign w:val="bottom"/>
            <w:hideMark/>
          </w:tcPr>
          <w:p w14:paraId="6CA9A8DC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4,458.04</w:t>
            </w:r>
          </w:p>
        </w:tc>
        <w:tc>
          <w:tcPr>
            <w:tcW w:w="980" w:type="dxa"/>
            <w:noWrap/>
            <w:vAlign w:val="bottom"/>
            <w:hideMark/>
          </w:tcPr>
          <w:p w14:paraId="43BFE932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210AD757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2F649354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4074C812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3121</w:t>
            </w:r>
          </w:p>
        </w:tc>
        <w:tc>
          <w:tcPr>
            <w:tcW w:w="3933" w:type="dxa"/>
            <w:noWrap/>
            <w:vAlign w:val="bottom"/>
            <w:hideMark/>
          </w:tcPr>
          <w:p w14:paraId="5B2C2A1D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Ostali rashodi za zaposlene</w:t>
            </w:r>
          </w:p>
        </w:tc>
        <w:tc>
          <w:tcPr>
            <w:tcW w:w="1298" w:type="dxa"/>
            <w:noWrap/>
            <w:vAlign w:val="bottom"/>
            <w:hideMark/>
          </w:tcPr>
          <w:p w14:paraId="485870A1" w14:textId="39D9D21A" w:rsidR="00F632AA" w:rsidRPr="00ED1580" w:rsidRDefault="00423D78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5.767,00</w:t>
            </w:r>
          </w:p>
        </w:tc>
        <w:tc>
          <w:tcPr>
            <w:tcW w:w="1298" w:type="dxa"/>
            <w:noWrap/>
            <w:vAlign w:val="bottom"/>
            <w:hideMark/>
          </w:tcPr>
          <w:p w14:paraId="03E59F04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4,652.17</w:t>
            </w:r>
          </w:p>
        </w:tc>
        <w:tc>
          <w:tcPr>
            <w:tcW w:w="980" w:type="dxa"/>
            <w:noWrap/>
            <w:vAlign w:val="bottom"/>
            <w:hideMark/>
          </w:tcPr>
          <w:p w14:paraId="1B121DB8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105DA3C7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37F3E0A0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21FD208F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3132</w:t>
            </w:r>
          </w:p>
        </w:tc>
        <w:tc>
          <w:tcPr>
            <w:tcW w:w="3933" w:type="dxa"/>
            <w:noWrap/>
            <w:vAlign w:val="bottom"/>
            <w:hideMark/>
          </w:tcPr>
          <w:p w14:paraId="06D6DDE7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Doprinosi za obvezno zdravstveno osiguranje</w:t>
            </w:r>
          </w:p>
        </w:tc>
        <w:tc>
          <w:tcPr>
            <w:tcW w:w="1298" w:type="dxa"/>
            <w:noWrap/>
            <w:vAlign w:val="bottom"/>
            <w:hideMark/>
          </w:tcPr>
          <w:p w14:paraId="7C0B931F" w14:textId="5652FD6B" w:rsidR="00F632AA" w:rsidRPr="00ED1580" w:rsidRDefault="00423D78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5.134,00</w:t>
            </w:r>
          </w:p>
        </w:tc>
        <w:tc>
          <w:tcPr>
            <w:tcW w:w="1298" w:type="dxa"/>
            <w:noWrap/>
            <w:vAlign w:val="bottom"/>
            <w:hideMark/>
          </w:tcPr>
          <w:p w14:paraId="631812E8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5,057.26</w:t>
            </w:r>
          </w:p>
        </w:tc>
        <w:tc>
          <w:tcPr>
            <w:tcW w:w="980" w:type="dxa"/>
            <w:noWrap/>
            <w:vAlign w:val="bottom"/>
            <w:hideMark/>
          </w:tcPr>
          <w:p w14:paraId="2D9A37DB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6B155833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7360CD40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63AF06C9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933" w:type="dxa"/>
            <w:noWrap/>
            <w:vAlign w:val="bottom"/>
            <w:hideMark/>
          </w:tcPr>
          <w:p w14:paraId="4CA434A5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Materijalni rashodi</w:t>
            </w:r>
          </w:p>
        </w:tc>
        <w:tc>
          <w:tcPr>
            <w:tcW w:w="1298" w:type="dxa"/>
            <w:noWrap/>
            <w:vAlign w:val="bottom"/>
            <w:hideMark/>
          </w:tcPr>
          <w:p w14:paraId="52847FCC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11,235.00</w:t>
            </w:r>
          </w:p>
        </w:tc>
        <w:tc>
          <w:tcPr>
            <w:tcW w:w="1298" w:type="dxa"/>
            <w:noWrap/>
            <w:vAlign w:val="bottom"/>
            <w:hideMark/>
          </w:tcPr>
          <w:p w14:paraId="4027977E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9,378.09</w:t>
            </w:r>
          </w:p>
        </w:tc>
        <w:tc>
          <w:tcPr>
            <w:tcW w:w="980" w:type="dxa"/>
            <w:noWrap/>
            <w:vAlign w:val="bottom"/>
            <w:hideMark/>
          </w:tcPr>
          <w:p w14:paraId="49EB8335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83.47%</w:t>
            </w:r>
          </w:p>
        </w:tc>
      </w:tr>
      <w:tr w:rsidR="00F632AA" w:rsidRPr="00ED1580" w14:paraId="03469DBF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2CE59577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7EA3B04C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3211</w:t>
            </w:r>
          </w:p>
        </w:tc>
        <w:tc>
          <w:tcPr>
            <w:tcW w:w="3933" w:type="dxa"/>
            <w:noWrap/>
            <w:vAlign w:val="bottom"/>
            <w:hideMark/>
          </w:tcPr>
          <w:p w14:paraId="68AF4B0B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Službena putovanja</w:t>
            </w:r>
          </w:p>
        </w:tc>
        <w:tc>
          <w:tcPr>
            <w:tcW w:w="1298" w:type="dxa"/>
            <w:noWrap/>
            <w:vAlign w:val="bottom"/>
            <w:hideMark/>
          </w:tcPr>
          <w:p w14:paraId="27DED384" w14:textId="05C7CDA9" w:rsidR="00F632AA" w:rsidRPr="00ED1580" w:rsidRDefault="00423D78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700,00</w:t>
            </w:r>
          </w:p>
        </w:tc>
        <w:tc>
          <w:tcPr>
            <w:tcW w:w="1298" w:type="dxa"/>
            <w:noWrap/>
            <w:vAlign w:val="bottom"/>
            <w:hideMark/>
          </w:tcPr>
          <w:p w14:paraId="2A6545B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385.00</w:t>
            </w:r>
          </w:p>
        </w:tc>
        <w:tc>
          <w:tcPr>
            <w:tcW w:w="980" w:type="dxa"/>
            <w:noWrap/>
            <w:vAlign w:val="bottom"/>
            <w:hideMark/>
          </w:tcPr>
          <w:p w14:paraId="0A308AB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13BC385A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471E6740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746BEB4D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3212</w:t>
            </w:r>
          </w:p>
        </w:tc>
        <w:tc>
          <w:tcPr>
            <w:tcW w:w="3933" w:type="dxa"/>
            <w:noWrap/>
            <w:vAlign w:val="bottom"/>
            <w:hideMark/>
          </w:tcPr>
          <w:p w14:paraId="6B2ECCC6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Naknade za prijevoz, za rad na terenu i odvojeni život</w:t>
            </w:r>
          </w:p>
        </w:tc>
        <w:tc>
          <w:tcPr>
            <w:tcW w:w="1298" w:type="dxa"/>
            <w:noWrap/>
            <w:vAlign w:val="bottom"/>
            <w:hideMark/>
          </w:tcPr>
          <w:p w14:paraId="7D72C608" w14:textId="351FEFC0" w:rsidR="00F632AA" w:rsidRPr="00ED1580" w:rsidRDefault="00423D78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414,00</w:t>
            </w:r>
          </w:p>
        </w:tc>
        <w:tc>
          <w:tcPr>
            <w:tcW w:w="1298" w:type="dxa"/>
            <w:noWrap/>
            <w:vAlign w:val="bottom"/>
            <w:hideMark/>
          </w:tcPr>
          <w:p w14:paraId="372415B8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335.66</w:t>
            </w:r>
          </w:p>
        </w:tc>
        <w:tc>
          <w:tcPr>
            <w:tcW w:w="980" w:type="dxa"/>
            <w:noWrap/>
            <w:vAlign w:val="bottom"/>
            <w:hideMark/>
          </w:tcPr>
          <w:p w14:paraId="7E621493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4FA41D31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36CA8C5E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1377CA6B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3214</w:t>
            </w:r>
          </w:p>
        </w:tc>
        <w:tc>
          <w:tcPr>
            <w:tcW w:w="3933" w:type="dxa"/>
            <w:noWrap/>
            <w:vAlign w:val="bottom"/>
            <w:hideMark/>
          </w:tcPr>
          <w:p w14:paraId="759D1D4B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Ostale naknade troškova zaposlenima</w:t>
            </w:r>
          </w:p>
        </w:tc>
        <w:tc>
          <w:tcPr>
            <w:tcW w:w="1298" w:type="dxa"/>
            <w:noWrap/>
            <w:vAlign w:val="bottom"/>
            <w:hideMark/>
          </w:tcPr>
          <w:p w14:paraId="2779CFD1" w14:textId="73C8C5BB" w:rsidR="00F632AA" w:rsidRPr="00ED1580" w:rsidRDefault="00423D78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483,00</w:t>
            </w:r>
          </w:p>
        </w:tc>
        <w:tc>
          <w:tcPr>
            <w:tcW w:w="1298" w:type="dxa"/>
            <w:noWrap/>
            <w:vAlign w:val="bottom"/>
            <w:hideMark/>
          </w:tcPr>
          <w:p w14:paraId="07264B4A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291.00</w:t>
            </w:r>
          </w:p>
        </w:tc>
        <w:tc>
          <w:tcPr>
            <w:tcW w:w="980" w:type="dxa"/>
            <w:noWrap/>
            <w:vAlign w:val="bottom"/>
            <w:hideMark/>
          </w:tcPr>
          <w:p w14:paraId="6322F87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524F4EC5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6600C0B5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45EDCCC6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3221</w:t>
            </w:r>
          </w:p>
        </w:tc>
        <w:tc>
          <w:tcPr>
            <w:tcW w:w="3933" w:type="dxa"/>
            <w:noWrap/>
            <w:vAlign w:val="bottom"/>
            <w:hideMark/>
          </w:tcPr>
          <w:p w14:paraId="4ED5ACC8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Uredski materijal i ostali materijalni rashodi</w:t>
            </w:r>
          </w:p>
        </w:tc>
        <w:tc>
          <w:tcPr>
            <w:tcW w:w="1298" w:type="dxa"/>
            <w:noWrap/>
            <w:vAlign w:val="bottom"/>
            <w:hideMark/>
          </w:tcPr>
          <w:p w14:paraId="76526139" w14:textId="714B1A71" w:rsidR="00F632AA" w:rsidRPr="00ED1580" w:rsidRDefault="008661C6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698,00</w:t>
            </w:r>
          </w:p>
        </w:tc>
        <w:tc>
          <w:tcPr>
            <w:tcW w:w="1298" w:type="dxa"/>
            <w:noWrap/>
            <w:vAlign w:val="bottom"/>
            <w:hideMark/>
          </w:tcPr>
          <w:p w14:paraId="5168CF7A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645.27</w:t>
            </w:r>
          </w:p>
        </w:tc>
        <w:tc>
          <w:tcPr>
            <w:tcW w:w="980" w:type="dxa"/>
            <w:noWrap/>
            <w:vAlign w:val="bottom"/>
            <w:hideMark/>
          </w:tcPr>
          <w:p w14:paraId="3CEC5A41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3174F577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478DCFA1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26633B31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3225</w:t>
            </w:r>
          </w:p>
        </w:tc>
        <w:tc>
          <w:tcPr>
            <w:tcW w:w="3933" w:type="dxa"/>
            <w:noWrap/>
            <w:vAlign w:val="bottom"/>
            <w:hideMark/>
          </w:tcPr>
          <w:p w14:paraId="47E28943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Sitni inventar i autogume</w:t>
            </w:r>
          </w:p>
        </w:tc>
        <w:tc>
          <w:tcPr>
            <w:tcW w:w="1298" w:type="dxa"/>
            <w:noWrap/>
            <w:vAlign w:val="bottom"/>
            <w:hideMark/>
          </w:tcPr>
          <w:p w14:paraId="58B8AD99" w14:textId="015E96FD" w:rsidR="00F632AA" w:rsidRPr="00ED1580" w:rsidRDefault="008661C6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500,00</w:t>
            </w:r>
          </w:p>
        </w:tc>
        <w:tc>
          <w:tcPr>
            <w:tcW w:w="1298" w:type="dxa"/>
            <w:noWrap/>
            <w:vAlign w:val="bottom"/>
            <w:hideMark/>
          </w:tcPr>
          <w:p w14:paraId="3FE8B3C1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500.00</w:t>
            </w:r>
          </w:p>
        </w:tc>
        <w:tc>
          <w:tcPr>
            <w:tcW w:w="980" w:type="dxa"/>
            <w:noWrap/>
            <w:vAlign w:val="bottom"/>
            <w:hideMark/>
          </w:tcPr>
          <w:p w14:paraId="5D44BF8A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710A03B6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6EF99205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7763C811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3231</w:t>
            </w:r>
          </w:p>
        </w:tc>
        <w:tc>
          <w:tcPr>
            <w:tcW w:w="3933" w:type="dxa"/>
            <w:noWrap/>
            <w:vAlign w:val="bottom"/>
            <w:hideMark/>
          </w:tcPr>
          <w:p w14:paraId="49FF36ED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Usluge telefona, interneta, pošte i prijevoza</w:t>
            </w:r>
          </w:p>
        </w:tc>
        <w:tc>
          <w:tcPr>
            <w:tcW w:w="1298" w:type="dxa"/>
            <w:noWrap/>
            <w:vAlign w:val="bottom"/>
            <w:hideMark/>
          </w:tcPr>
          <w:p w14:paraId="5EEAFA96" w14:textId="7052A1CE" w:rsidR="00F632AA" w:rsidRPr="00ED1580" w:rsidRDefault="008661C6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606,00</w:t>
            </w:r>
          </w:p>
        </w:tc>
        <w:tc>
          <w:tcPr>
            <w:tcW w:w="1298" w:type="dxa"/>
            <w:noWrap/>
            <w:vAlign w:val="bottom"/>
            <w:hideMark/>
          </w:tcPr>
          <w:p w14:paraId="779C3A2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501.92</w:t>
            </w:r>
          </w:p>
        </w:tc>
        <w:tc>
          <w:tcPr>
            <w:tcW w:w="980" w:type="dxa"/>
            <w:noWrap/>
            <w:vAlign w:val="bottom"/>
            <w:hideMark/>
          </w:tcPr>
          <w:p w14:paraId="3F711A48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18E960E7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283D48DE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522127EA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3233</w:t>
            </w:r>
          </w:p>
        </w:tc>
        <w:tc>
          <w:tcPr>
            <w:tcW w:w="3933" w:type="dxa"/>
            <w:noWrap/>
            <w:vAlign w:val="bottom"/>
            <w:hideMark/>
          </w:tcPr>
          <w:p w14:paraId="5D052FD8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Usluge promidžbe i informiranja</w:t>
            </w:r>
          </w:p>
        </w:tc>
        <w:tc>
          <w:tcPr>
            <w:tcW w:w="1298" w:type="dxa"/>
            <w:noWrap/>
            <w:vAlign w:val="bottom"/>
            <w:hideMark/>
          </w:tcPr>
          <w:p w14:paraId="2B096AA1" w14:textId="7EFE6006" w:rsidR="00F632AA" w:rsidRPr="00ED1580" w:rsidRDefault="008661C6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333,00</w:t>
            </w:r>
          </w:p>
        </w:tc>
        <w:tc>
          <w:tcPr>
            <w:tcW w:w="1298" w:type="dxa"/>
            <w:noWrap/>
            <w:vAlign w:val="bottom"/>
            <w:hideMark/>
          </w:tcPr>
          <w:p w14:paraId="234C7151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248.51</w:t>
            </w:r>
          </w:p>
        </w:tc>
        <w:tc>
          <w:tcPr>
            <w:tcW w:w="980" w:type="dxa"/>
            <w:noWrap/>
            <w:vAlign w:val="bottom"/>
            <w:hideMark/>
          </w:tcPr>
          <w:p w14:paraId="46A3E733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794139E5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4C373B6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7DEFF008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3234</w:t>
            </w:r>
          </w:p>
        </w:tc>
        <w:tc>
          <w:tcPr>
            <w:tcW w:w="3933" w:type="dxa"/>
            <w:noWrap/>
            <w:vAlign w:val="bottom"/>
            <w:hideMark/>
          </w:tcPr>
          <w:p w14:paraId="78D85385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Komunalne usluge</w:t>
            </w:r>
          </w:p>
        </w:tc>
        <w:tc>
          <w:tcPr>
            <w:tcW w:w="1298" w:type="dxa"/>
            <w:noWrap/>
            <w:vAlign w:val="bottom"/>
            <w:hideMark/>
          </w:tcPr>
          <w:p w14:paraId="1E0915D2" w14:textId="579028D7" w:rsidR="00F632AA" w:rsidRPr="00ED1580" w:rsidRDefault="008661C6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500,00</w:t>
            </w:r>
          </w:p>
        </w:tc>
        <w:tc>
          <w:tcPr>
            <w:tcW w:w="1298" w:type="dxa"/>
            <w:noWrap/>
            <w:vAlign w:val="bottom"/>
            <w:hideMark/>
          </w:tcPr>
          <w:p w14:paraId="5D96E08B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371.28</w:t>
            </w:r>
          </w:p>
        </w:tc>
        <w:tc>
          <w:tcPr>
            <w:tcW w:w="980" w:type="dxa"/>
            <w:noWrap/>
            <w:vAlign w:val="bottom"/>
            <w:hideMark/>
          </w:tcPr>
          <w:p w14:paraId="00312ABD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351DBBED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565710F6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65327E83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3237</w:t>
            </w:r>
          </w:p>
        </w:tc>
        <w:tc>
          <w:tcPr>
            <w:tcW w:w="3933" w:type="dxa"/>
            <w:noWrap/>
            <w:vAlign w:val="bottom"/>
            <w:hideMark/>
          </w:tcPr>
          <w:p w14:paraId="5D2C5CED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Intelektualne i osobne usluge</w:t>
            </w:r>
          </w:p>
        </w:tc>
        <w:tc>
          <w:tcPr>
            <w:tcW w:w="1298" w:type="dxa"/>
            <w:noWrap/>
            <w:vAlign w:val="bottom"/>
            <w:hideMark/>
          </w:tcPr>
          <w:p w14:paraId="09F5DB2C" w14:textId="6897B224" w:rsidR="00F632AA" w:rsidRPr="00ED1580" w:rsidRDefault="008661C6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3.000,00</w:t>
            </w:r>
          </w:p>
        </w:tc>
        <w:tc>
          <w:tcPr>
            <w:tcW w:w="1298" w:type="dxa"/>
            <w:noWrap/>
            <w:vAlign w:val="bottom"/>
            <w:hideMark/>
          </w:tcPr>
          <w:p w14:paraId="37E5F01D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2,995.03</w:t>
            </w:r>
          </w:p>
        </w:tc>
        <w:tc>
          <w:tcPr>
            <w:tcW w:w="980" w:type="dxa"/>
            <w:noWrap/>
            <w:vAlign w:val="bottom"/>
            <w:hideMark/>
          </w:tcPr>
          <w:p w14:paraId="0B396D2B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6FC3E5AF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50BF3A81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533444AC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3238</w:t>
            </w:r>
          </w:p>
        </w:tc>
        <w:tc>
          <w:tcPr>
            <w:tcW w:w="3933" w:type="dxa"/>
            <w:noWrap/>
            <w:vAlign w:val="bottom"/>
            <w:hideMark/>
          </w:tcPr>
          <w:p w14:paraId="173B6436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Računalne usluge</w:t>
            </w:r>
          </w:p>
        </w:tc>
        <w:tc>
          <w:tcPr>
            <w:tcW w:w="1298" w:type="dxa"/>
            <w:noWrap/>
            <w:vAlign w:val="bottom"/>
            <w:hideMark/>
          </w:tcPr>
          <w:p w14:paraId="5C802A68" w14:textId="6B78A1CE" w:rsidR="00F632AA" w:rsidRPr="00ED1580" w:rsidRDefault="00F027AD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1.220,00</w:t>
            </w:r>
          </w:p>
        </w:tc>
        <w:tc>
          <w:tcPr>
            <w:tcW w:w="1298" w:type="dxa"/>
            <w:noWrap/>
            <w:vAlign w:val="bottom"/>
            <w:hideMark/>
          </w:tcPr>
          <w:p w14:paraId="3BE7B9DD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1,082.48</w:t>
            </w:r>
          </w:p>
        </w:tc>
        <w:tc>
          <w:tcPr>
            <w:tcW w:w="980" w:type="dxa"/>
            <w:noWrap/>
            <w:vAlign w:val="bottom"/>
            <w:hideMark/>
          </w:tcPr>
          <w:p w14:paraId="43D22435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3909E4E3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494F6202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056FD540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3239</w:t>
            </w:r>
          </w:p>
        </w:tc>
        <w:tc>
          <w:tcPr>
            <w:tcW w:w="3933" w:type="dxa"/>
            <w:noWrap/>
            <w:vAlign w:val="bottom"/>
            <w:hideMark/>
          </w:tcPr>
          <w:p w14:paraId="2E54A8A8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Ostale usluge</w:t>
            </w:r>
          </w:p>
        </w:tc>
        <w:tc>
          <w:tcPr>
            <w:tcW w:w="1298" w:type="dxa"/>
            <w:noWrap/>
            <w:vAlign w:val="bottom"/>
            <w:hideMark/>
          </w:tcPr>
          <w:p w14:paraId="00D6F58C" w14:textId="348FCE11" w:rsidR="00F632AA" w:rsidRPr="00ED1580" w:rsidRDefault="00F027AD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1.094,00</w:t>
            </w:r>
          </w:p>
        </w:tc>
        <w:tc>
          <w:tcPr>
            <w:tcW w:w="1298" w:type="dxa"/>
            <w:noWrap/>
            <w:vAlign w:val="bottom"/>
            <w:hideMark/>
          </w:tcPr>
          <w:p w14:paraId="5196BE65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880.96</w:t>
            </w:r>
          </w:p>
        </w:tc>
        <w:tc>
          <w:tcPr>
            <w:tcW w:w="980" w:type="dxa"/>
            <w:noWrap/>
            <w:vAlign w:val="bottom"/>
            <w:hideMark/>
          </w:tcPr>
          <w:p w14:paraId="1F130DEC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2FF0E676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4B9E9D40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1F03705A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3292</w:t>
            </w:r>
          </w:p>
        </w:tc>
        <w:tc>
          <w:tcPr>
            <w:tcW w:w="3933" w:type="dxa"/>
            <w:noWrap/>
            <w:vAlign w:val="bottom"/>
            <w:hideMark/>
          </w:tcPr>
          <w:p w14:paraId="61F9E6D7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Premije osiguranja</w:t>
            </w:r>
          </w:p>
        </w:tc>
        <w:tc>
          <w:tcPr>
            <w:tcW w:w="1298" w:type="dxa"/>
            <w:noWrap/>
            <w:vAlign w:val="bottom"/>
            <w:hideMark/>
          </w:tcPr>
          <w:p w14:paraId="4B199E25" w14:textId="5DC01C80" w:rsidR="00F632AA" w:rsidRPr="00ED1580" w:rsidRDefault="00F027AD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1.000,00</w:t>
            </w:r>
          </w:p>
        </w:tc>
        <w:tc>
          <w:tcPr>
            <w:tcW w:w="1298" w:type="dxa"/>
            <w:noWrap/>
            <w:vAlign w:val="bottom"/>
            <w:hideMark/>
          </w:tcPr>
          <w:p w14:paraId="30D4DBB1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950.21</w:t>
            </w:r>
          </w:p>
        </w:tc>
        <w:tc>
          <w:tcPr>
            <w:tcW w:w="980" w:type="dxa"/>
            <w:noWrap/>
            <w:vAlign w:val="bottom"/>
            <w:hideMark/>
          </w:tcPr>
          <w:p w14:paraId="70FCDE81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45D842F2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47C6106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14707A4B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3293</w:t>
            </w:r>
          </w:p>
        </w:tc>
        <w:tc>
          <w:tcPr>
            <w:tcW w:w="3933" w:type="dxa"/>
            <w:noWrap/>
            <w:vAlign w:val="bottom"/>
            <w:hideMark/>
          </w:tcPr>
          <w:p w14:paraId="3A10432C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Reprezentacija</w:t>
            </w:r>
          </w:p>
        </w:tc>
        <w:tc>
          <w:tcPr>
            <w:tcW w:w="1298" w:type="dxa"/>
            <w:noWrap/>
            <w:vAlign w:val="bottom"/>
            <w:hideMark/>
          </w:tcPr>
          <w:p w14:paraId="1CEDC41B" w14:textId="522E0CA1" w:rsidR="00F632AA" w:rsidRPr="00ED1580" w:rsidRDefault="00F027AD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250,00</w:t>
            </w:r>
          </w:p>
        </w:tc>
        <w:tc>
          <w:tcPr>
            <w:tcW w:w="1298" w:type="dxa"/>
            <w:noWrap/>
            <w:vAlign w:val="bottom"/>
            <w:hideMark/>
          </w:tcPr>
          <w:p w14:paraId="68890078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164.23</w:t>
            </w:r>
          </w:p>
        </w:tc>
        <w:tc>
          <w:tcPr>
            <w:tcW w:w="980" w:type="dxa"/>
            <w:noWrap/>
            <w:vAlign w:val="bottom"/>
            <w:hideMark/>
          </w:tcPr>
          <w:p w14:paraId="6AE3F26D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5784CB25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148D27CA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063C3D1D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3295</w:t>
            </w:r>
          </w:p>
        </w:tc>
        <w:tc>
          <w:tcPr>
            <w:tcW w:w="3933" w:type="dxa"/>
            <w:noWrap/>
            <w:vAlign w:val="bottom"/>
            <w:hideMark/>
          </w:tcPr>
          <w:p w14:paraId="50013503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Pristojbe i naknade</w:t>
            </w:r>
          </w:p>
        </w:tc>
        <w:tc>
          <w:tcPr>
            <w:tcW w:w="1298" w:type="dxa"/>
            <w:noWrap/>
            <w:vAlign w:val="bottom"/>
            <w:hideMark/>
          </w:tcPr>
          <w:p w14:paraId="595B85C3" w14:textId="5BE16277" w:rsidR="00F632AA" w:rsidRPr="00ED1580" w:rsidRDefault="00F027AD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39,00</w:t>
            </w:r>
          </w:p>
        </w:tc>
        <w:tc>
          <w:tcPr>
            <w:tcW w:w="1298" w:type="dxa"/>
            <w:noWrap/>
            <w:vAlign w:val="bottom"/>
            <w:hideMark/>
          </w:tcPr>
          <w:p w14:paraId="2727633B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26.54</w:t>
            </w:r>
          </w:p>
        </w:tc>
        <w:tc>
          <w:tcPr>
            <w:tcW w:w="980" w:type="dxa"/>
            <w:noWrap/>
            <w:vAlign w:val="bottom"/>
            <w:hideMark/>
          </w:tcPr>
          <w:p w14:paraId="2D169CA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215C85C9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1C723CC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6592A589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3933" w:type="dxa"/>
            <w:noWrap/>
            <w:vAlign w:val="bottom"/>
            <w:hideMark/>
          </w:tcPr>
          <w:p w14:paraId="45E573A7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Financijski rashodi</w:t>
            </w:r>
          </w:p>
        </w:tc>
        <w:tc>
          <w:tcPr>
            <w:tcW w:w="1298" w:type="dxa"/>
            <w:noWrap/>
            <w:vAlign w:val="bottom"/>
            <w:hideMark/>
          </w:tcPr>
          <w:p w14:paraId="0E92A350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363.00</w:t>
            </w:r>
          </w:p>
        </w:tc>
        <w:tc>
          <w:tcPr>
            <w:tcW w:w="1298" w:type="dxa"/>
            <w:noWrap/>
            <w:vAlign w:val="bottom"/>
            <w:hideMark/>
          </w:tcPr>
          <w:p w14:paraId="2A8FFF24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267.73</w:t>
            </w:r>
          </w:p>
        </w:tc>
        <w:tc>
          <w:tcPr>
            <w:tcW w:w="980" w:type="dxa"/>
            <w:noWrap/>
            <w:vAlign w:val="bottom"/>
            <w:hideMark/>
          </w:tcPr>
          <w:p w14:paraId="713BE210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73.75%</w:t>
            </w:r>
          </w:p>
        </w:tc>
      </w:tr>
      <w:tr w:rsidR="00F632AA" w:rsidRPr="00ED1580" w14:paraId="45904F34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7585412A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1421DD99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3431</w:t>
            </w:r>
          </w:p>
        </w:tc>
        <w:tc>
          <w:tcPr>
            <w:tcW w:w="3933" w:type="dxa"/>
            <w:noWrap/>
            <w:vAlign w:val="bottom"/>
            <w:hideMark/>
          </w:tcPr>
          <w:p w14:paraId="723EFB70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Bankarske usluge i usluge platnog prometa</w:t>
            </w:r>
          </w:p>
        </w:tc>
        <w:tc>
          <w:tcPr>
            <w:tcW w:w="1298" w:type="dxa"/>
            <w:noWrap/>
            <w:vAlign w:val="bottom"/>
            <w:hideMark/>
          </w:tcPr>
          <w:p w14:paraId="7540F51D" w14:textId="469F23EC" w:rsidR="00F632AA" w:rsidRPr="00ED1580" w:rsidRDefault="00F027AD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363,00</w:t>
            </w:r>
          </w:p>
        </w:tc>
        <w:tc>
          <w:tcPr>
            <w:tcW w:w="1298" w:type="dxa"/>
            <w:noWrap/>
            <w:vAlign w:val="bottom"/>
            <w:hideMark/>
          </w:tcPr>
          <w:p w14:paraId="58085C6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267.73</w:t>
            </w:r>
          </w:p>
        </w:tc>
        <w:tc>
          <w:tcPr>
            <w:tcW w:w="980" w:type="dxa"/>
            <w:noWrap/>
            <w:vAlign w:val="bottom"/>
            <w:hideMark/>
          </w:tcPr>
          <w:p w14:paraId="53CEF4C0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009F04E1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4C3B557B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1B4B367D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3933" w:type="dxa"/>
            <w:noWrap/>
            <w:vAlign w:val="bottom"/>
            <w:hideMark/>
          </w:tcPr>
          <w:p w14:paraId="2F7614FB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Rashodi za nabavu proizvedene dugotrajne imovine</w:t>
            </w:r>
          </w:p>
        </w:tc>
        <w:tc>
          <w:tcPr>
            <w:tcW w:w="1298" w:type="dxa"/>
            <w:noWrap/>
            <w:vAlign w:val="bottom"/>
            <w:hideMark/>
          </w:tcPr>
          <w:p w14:paraId="600FA42B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690.00</w:t>
            </w:r>
          </w:p>
        </w:tc>
        <w:tc>
          <w:tcPr>
            <w:tcW w:w="1298" w:type="dxa"/>
            <w:noWrap/>
            <w:vAlign w:val="bottom"/>
            <w:hideMark/>
          </w:tcPr>
          <w:p w14:paraId="5319EE4C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80" w:type="dxa"/>
            <w:noWrap/>
            <w:vAlign w:val="bottom"/>
            <w:hideMark/>
          </w:tcPr>
          <w:p w14:paraId="24D7A9E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0.00%</w:t>
            </w:r>
          </w:p>
        </w:tc>
      </w:tr>
      <w:tr w:rsidR="00F632AA" w:rsidRPr="00ED1580" w14:paraId="56F02908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6F8AD10D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3B82CB19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3. VLASTITI PRIHODI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23B64857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2301E54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1AC6C7EA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0.00%</w:t>
            </w:r>
          </w:p>
        </w:tc>
      </w:tr>
      <w:tr w:rsidR="00F632AA" w:rsidRPr="00ED1580" w14:paraId="03E94007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56630D9E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310E4DF3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3.2.1922 VLASTITI PRIHODI VLAŠKI PUTI - VIŠAK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0CD13E2B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524AB7C2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177879E7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0.00%</w:t>
            </w:r>
          </w:p>
        </w:tc>
      </w:tr>
      <w:tr w:rsidR="00F632AA" w:rsidRPr="00ED1580" w14:paraId="5A88B0A9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264A0D5C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01EF3A79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933" w:type="dxa"/>
            <w:noWrap/>
            <w:vAlign w:val="bottom"/>
            <w:hideMark/>
          </w:tcPr>
          <w:p w14:paraId="51A2E256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Materijalni rashodi</w:t>
            </w:r>
          </w:p>
        </w:tc>
        <w:tc>
          <w:tcPr>
            <w:tcW w:w="1298" w:type="dxa"/>
            <w:noWrap/>
            <w:vAlign w:val="bottom"/>
            <w:hideMark/>
          </w:tcPr>
          <w:p w14:paraId="70D1E7CA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3.00</w:t>
            </w:r>
          </w:p>
        </w:tc>
        <w:tc>
          <w:tcPr>
            <w:tcW w:w="1298" w:type="dxa"/>
            <w:noWrap/>
            <w:vAlign w:val="bottom"/>
            <w:hideMark/>
          </w:tcPr>
          <w:p w14:paraId="3FB62C77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80" w:type="dxa"/>
            <w:noWrap/>
            <w:vAlign w:val="bottom"/>
            <w:hideMark/>
          </w:tcPr>
          <w:p w14:paraId="4AD4A347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0.00%</w:t>
            </w:r>
          </w:p>
        </w:tc>
      </w:tr>
      <w:tr w:rsidR="00F632AA" w:rsidRPr="00ED1580" w14:paraId="7914EDC4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48EE2361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72D00DDC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4. PRIHODI ZA POSEBNE NAMJENE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32B0B805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2,773.40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40905E7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907.79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7D852CC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32.73%</w:t>
            </w:r>
          </w:p>
        </w:tc>
      </w:tr>
      <w:tr w:rsidR="00F632AA" w:rsidRPr="00ED1580" w14:paraId="36514D1D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32F2800D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1C273257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4.4.1 PRIHODI ZA POSEBNE NAMJENE - VLAŠKI PUTI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26C2EF40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1,606.00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1F613435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587.59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6F1C9371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36.59%</w:t>
            </w:r>
          </w:p>
        </w:tc>
      </w:tr>
      <w:tr w:rsidR="00F632AA" w:rsidRPr="00ED1580" w14:paraId="03E37B0F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68081D23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1A52AC1F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933" w:type="dxa"/>
            <w:noWrap/>
            <w:vAlign w:val="bottom"/>
            <w:hideMark/>
          </w:tcPr>
          <w:p w14:paraId="70A1E405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Materijalni rashodi</w:t>
            </w:r>
          </w:p>
        </w:tc>
        <w:tc>
          <w:tcPr>
            <w:tcW w:w="1298" w:type="dxa"/>
            <w:noWrap/>
            <w:vAlign w:val="bottom"/>
            <w:hideMark/>
          </w:tcPr>
          <w:p w14:paraId="0DB58DF4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1,606.00</w:t>
            </w:r>
          </w:p>
        </w:tc>
        <w:tc>
          <w:tcPr>
            <w:tcW w:w="1298" w:type="dxa"/>
            <w:noWrap/>
            <w:vAlign w:val="bottom"/>
            <w:hideMark/>
          </w:tcPr>
          <w:p w14:paraId="0913801E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550.13</w:t>
            </w:r>
          </w:p>
        </w:tc>
        <w:tc>
          <w:tcPr>
            <w:tcW w:w="980" w:type="dxa"/>
            <w:noWrap/>
            <w:vAlign w:val="bottom"/>
            <w:hideMark/>
          </w:tcPr>
          <w:p w14:paraId="4C26B466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34.25%</w:t>
            </w:r>
          </w:p>
        </w:tc>
      </w:tr>
      <w:tr w:rsidR="00F632AA" w:rsidRPr="00ED1580" w14:paraId="34A6CFBF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48F4A54C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6C762CF3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3211</w:t>
            </w:r>
          </w:p>
        </w:tc>
        <w:tc>
          <w:tcPr>
            <w:tcW w:w="3933" w:type="dxa"/>
            <w:noWrap/>
            <w:vAlign w:val="bottom"/>
            <w:hideMark/>
          </w:tcPr>
          <w:p w14:paraId="0CA7460A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Službena putovanja</w:t>
            </w:r>
          </w:p>
        </w:tc>
        <w:tc>
          <w:tcPr>
            <w:tcW w:w="1298" w:type="dxa"/>
            <w:noWrap/>
            <w:vAlign w:val="bottom"/>
            <w:hideMark/>
          </w:tcPr>
          <w:p w14:paraId="0836A682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  <w:hideMark/>
          </w:tcPr>
          <w:p w14:paraId="339E778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313.00</w:t>
            </w:r>
          </w:p>
        </w:tc>
        <w:tc>
          <w:tcPr>
            <w:tcW w:w="980" w:type="dxa"/>
            <w:noWrap/>
            <w:vAlign w:val="bottom"/>
            <w:hideMark/>
          </w:tcPr>
          <w:p w14:paraId="615C7FFC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32D87E49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7E7CAD1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100A7D32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3221</w:t>
            </w:r>
          </w:p>
        </w:tc>
        <w:tc>
          <w:tcPr>
            <w:tcW w:w="3933" w:type="dxa"/>
            <w:noWrap/>
            <w:vAlign w:val="bottom"/>
            <w:hideMark/>
          </w:tcPr>
          <w:p w14:paraId="7D718F3F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Uredski materijal i ostali materijalni rashodi</w:t>
            </w:r>
          </w:p>
        </w:tc>
        <w:tc>
          <w:tcPr>
            <w:tcW w:w="1298" w:type="dxa"/>
            <w:noWrap/>
            <w:vAlign w:val="bottom"/>
            <w:hideMark/>
          </w:tcPr>
          <w:p w14:paraId="08916AE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  <w:hideMark/>
          </w:tcPr>
          <w:p w14:paraId="4DBF2C68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7.98</w:t>
            </w:r>
          </w:p>
        </w:tc>
        <w:tc>
          <w:tcPr>
            <w:tcW w:w="980" w:type="dxa"/>
            <w:noWrap/>
            <w:vAlign w:val="bottom"/>
            <w:hideMark/>
          </w:tcPr>
          <w:p w14:paraId="3A1781BA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77E769C7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36717576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39B3F986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3222</w:t>
            </w:r>
          </w:p>
        </w:tc>
        <w:tc>
          <w:tcPr>
            <w:tcW w:w="3933" w:type="dxa"/>
            <w:noWrap/>
            <w:vAlign w:val="bottom"/>
            <w:hideMark/>
          </w:tcPr>
          <w:p w14:paraId="4878525C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Materijal i sirovine</w:t>
            </w:r>
          </w:p>
        </w:tc>
        <w:tc>
          <w:tcPr>
            <w:tcW w:w="1298" w:type="dxa"/>
            <w:noWrap/>
            <w:vAlign w:val="bottom"/>
            <w:hideMark/>
          </w:tcPr>
          <w:p w14:paraId="4AFC749B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  <w:hideMark/>
          </w:tcPr>
          <w:p w14:paraId="52122856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7.00</w:t>
            </w:r>
          </w:p>
        </w:tc>
        <w:tc>
          <w:tcPr>
            <w:tcW w:w="980" w:type="dxa"/>
            <w:noWrap/>
            <w:vAlign w:val="bottom"/>
            <w:hideMark/>
          </w:tcPr>
          <w:p w14:paraId="1DA256C4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48BEC992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03D1E990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26F9ECF1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3225</w:t>
            </w:r>
          </w:p>
        </w:tc>
        <w:tc>
          <w:tcPr>
            <w:tcW w:w="3933" w:type="dxa"/>
            <w:noWrap/>
            <w:vAlign w:val="bottom"/>
            <w:hideMark/>
          </w:tcPr>
          <w:p w14:paraId="5D0392CB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Sitni inventar i autogume</w:t>
            </w:r>
          </w:p>
        </w:tc>
        <w:tc>
          <w:tcPr>
            <w:tcW w:w="1298" w:type="dxa"/>
            <w:noWrap/>
            <w:vAlign w:val="bottom"/>
            <w:hideMark/>
          </w:tcPr>
          <w:p w14:paraId="6D236D41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  <w:hideMark/>
          </w:tcPr>
          <w:p w14:paraId="03234BF4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2.43</w:t>
            </w:r>
          </w:p>
        </w:tc>
        <w:tc>
          <w:tcPr>
            <w:tcW w:w="980" w:type="dxa"/>
            <w:noWrap/>
            <w:vAlign w:val="bottom"/>
            <w:hideMark/>
          </w:tcPr>
          <w:p w14:paraId="7C25947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08D8FAF7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5A47B324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0BB04266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3231</w:t>
            </w:r>
          </w:p>
        </w:tc>
        <w:tc>
          <w:tcPr>
            <w:tcW w:w="3933" w:type="dxa"/>
            <w:noWrap/>
            <w:vAlign w:val="bottom"/>
            <w:hideMark/>
          </w:tcPr>
          <w:p w14:paraId="03F00020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Usluge telefona, interneta, pošte i prijevoza</w:t>
            </w:r>
          </w:p>
        </w:tc>
        <w:tc>
          <w:tcPr>
            <w:tcW w:w="1298" w:type="dxa"/>
            <w:noWrap/>
            <w:vAlign w:val="bottom"/>
            <w:hideMark/>
          </w:tcPr>
          <w:p w14:paraId="29418087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  <w:hideMark/>
          </w:tcPr>
          <w:p w14:paraId="50EC77A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40.38</w:t>
            </w:r>
          </w:p>
        </w:tc>
        <w:tc>
          <w:tcPr>
            <w:tcW w:w="980" w:type="dxa"/>
            <w:noWrap/>
            <w:vAlign w:val="bottom"/>
            <w:hideMark/>
          </w:tcPr>
          <w:p w14:paraId="1AB76637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6A65B59D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072084F0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0598AF4D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3238</w:t>
            </w:r>
          </w:p>
        </w:tc>
        <w:tc>
          <w:tcPr>
            <w:tcW w:w="3933" w:type="dxa"/>
            <w:noWrap/>
            <w:vAlign w:val="bottom"/>
            <w:hideMark/>
          </w:tcPr>
          <w:p w14:paraId="4D89D4B8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Računalne usluge</w:t>
            </w:r>
          </w:p>
        </w:tc>
        <w:tc>
          <w:tcPr>
            <w:tcW w:w="1298" w:type="dxa"/>
            <w:noWrap/>
            <w:vAlign w:val="bottom"/>
            <w:hideMark/>
          </w:tcPr>
          <w:p w14:paraId="3BB27614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  <w:hideMark/>
          </w:tcPr>
          <w:p w14:paraId="4868B1E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118.75</w:t>
            </w:r>
          </w:p>
        </w:tc>
        <w:tc>
          <w:tcPr>
            <w:tcW w:w="980" w:type="dxa"/>
            <w:noWrap/>
            <w:vAlign w:val="bottom"/>
            <w:hideMark/>
          </w:tcPr>
          <w:p w14:paraId="737F0167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4122A80E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5AF54923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0F039C49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3239</w:t>
            </w:r>
          </w:p>
        </w:tc>
        <w:tc>
          <w:tcPr>
            <w:tcW w:w="3933" w:type="dxa"/>
            <w:noWrap/>
            <w:vAlign w:val="bottom"/>
            <w:hideMark/>
          </w:tcPr>
          <w:p w14:paraId="188F4476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Ostale usluge</w:t>
            </w:r>
          </w:p>
        </w:tc>
        <w:tc>
          <w:tcPr>
            <w:tcW w:w="1298" w:type="dxa"/>
            <w:noWrap/>
            <w:vAlign w:val="bottom"/>
            <w:hideMark/>
          </w:tcPr>
          <w:p w14:paraId="4B420F3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  <w:hideMark/>
          </w:tcPr>
          <w:p w14:paraId="404EEBED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47.30</w:t>
            </w:r>
          </w:p>
        </w:tc>
        <w:tc>
          <w:tcPr>
            <w:tcW w:w="980" w:type="dxa"/>
            <w:noWrap/>
            <w:vAlign w:val="bottom"/>
            <w:hideMark/>
          </w:tcPr>
          <w:p w14:paraId="2EBDC45B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1625F55A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6996087C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3BD0705D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3293</w:t>
            </w:r>
          </w:p>
        </w:tc>
        <w:tc>
          <w:tcPr>
            <w:tcW w:w="3933" w:type="dxa"/>
            <w:noWrap/>
            <w:vAlign w:val="bottom"/>
            <w:hideMark/>
          </w:tcPr>
          <w:p w14:paraId="4673682A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Reprezentacija</w:t>
            </w:r>
          </w:p>
        </w:tc>
        <w:tc>
          <w:tcPr>
            <w:tcW w:w="1298" w:type="dxa"/>
            <w:noWrap/>
            <w:vAlign w:val="bottom"/>
            <w:hideMark/>
          </w:tcPr>
          <w:p w14:paraId="546FFEEE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  <w:hideMark/>
          </w:tcPr>
          <w:p w14:paraId="6793CAF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13.29</w:t>
            </w:r>
          </w:p>
        </w:tc>
        <w:tc>
          <w:tcPr>
            <w:tcW w:w="980" w:type="dxa"/>
            <w:noWrap/>
            <w:vAlign w:val="bottom"/>
            <w:hideMark/>
          </w:tcPr>
          <w:p w14:paraId="2BDE9C7B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542F048D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494228EE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0A2904E3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3933" w:type="dxa"/>
            <w:noWrap/>
            <w:vAlign w:val="bottom"/>
            <w:hideMark/>
          </w:tcPr>
          <w:p w14:paraId="62AD2472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Financijski rashodi</w:t>
            </w:r>
          </w:p>
        </w:tc>
        <w:tc>
          <w:tcPr>
            <w:tcW w:w="1298" w:type="dxa"/>
            <w:noWrap/>
            <w:vAlign w:val="bottom"/>
            <w:hideMark/>
          </w:tcPr>
          <w:p w14:paraId="275C1B28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98" w:type="dxa"/>
            <w:noWrap/>
            <w:vAlign w:val="bottom"/>
            <w:hideMark/>
          </w:tcPr>
          <w:p w14:paraId="138A9D0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37.46</w:t>
            </w:r>
          </w:p>
        </w:tc>
        <w:tc>
          <w:tcPr>
            <w:tcW w:w="980" w:type="dxa"/>
            <w:noWrap/>
            <w:vAlign w:val="bottom"/>
            <w:hideMark/>
          </w:tcPr>
          <w:p w14:paraId="47B70B08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632AA" w:rsidRPr="00ED1580" w14:paraId="170B3C75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2ACE7C7A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4E8A1356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3431</w:t>
            </w:r>
          </w:p>
        </w:tc>
        <w:tc>
          <w:tcPr>
            <w:tcW w:w="3933" w:type="dxa"/>
            <w:noWrap/>
            <w:vAlign w:val="bottom"/>
            <w:hideMark/>
          </w:tcPr>
          <w:p w14:paraId="22149ADE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Bankarske usluge i usluge platnog prometa</w:t>
            </w:r>
          </w:p>
        </w:tc>
        <w:tc>
          <w:tcPr>
            <w:tcW w:w="1298" w:type="dxa"/>
            <w:noWrap/>
            <w:vAlign w:val="bottom"/>
            <w:hideMark/>
          </w:tcPr>
          <w:p w14:paraId="0B85FB36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  <w:hideMark/>
          </w:tcPr>
          <w:p w14:paraId="2E0301D0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37.44</w:t>
            </w:r>
          </w:p>
        </w:tc>
        <w:tc>
          <w:tcPr>
            <w:tcW w:w="980" w:type="dxa"/>
            <w:noWrap/>
            <w:vAlign w:val="bottom"/>
            <w:hideMark/>
          </w:tcPr>
          <w:p w14:paraId="44694F12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0087F75E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251B22F5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1D18CB4D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3433</w:t>
            </w:r>
          </w:p>
        </w:tc>
        <w:tc>
          <w:tcPr>
            <w:tcW w:w="3933" w:type="dxa"/>
            <w:noWrap/>
            <w:vAlign w:val="bottom"/>
            <w:hideMark/>
          </w:tcPr>
          <w:p w14:paraId="5B3C0896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Zatezne kamate</w:t>
            </w:r>
          </w:p>
        </w:tc>
        <w:tc>
          <w:tcPr>
            <w:tcW w:w="1298" w:type="dxa"/>
            <w:noWrap/>
            <w:vAlign w:val="bottom"/>
            <w:hideMark/>
          </w:tcPr>
          <w:p w14:paraId="29224480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  <w:hideMark/>
          </w:tcPr>
          <w:p w14:paraId="22AAAC75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980" w:type="dxa"/>
            <w:noWrap/>
            <w:vAlign w:val="bottom"/>
            <w:hideMark/>
          </w:tcPr>
          <w:p w14:paraId="08A6C2B3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21948D84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7B29764F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00ACB881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4.4.1922 PRIHODI ZA POSEBNE NAMJENE VLAŠLI PUTI - VIŠAK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7D2ED8FE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1,167.40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094787F5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320.20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18376E70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27.43%</w:t>
            </w:r>
          </w:p>
        </w:tc>
      </w:tr>
      <w:tr w:rsidR="00F632AA" w:rsidRPr="00ED1580" w14:paraId="3EB224DD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5B05B7B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05662BF2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3933" w:type="dxa"/>
            <w:noWrap/>
            <w:vAlign w:val="bottom"/>
            <w:hideMark/>
          </w:tcPr>
          <w:p w14:paraId="3BB0A06E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Rashodi za zaposlene</w:t>
            </w:r>
          </w:p>
        </w:tc>
        <w:tc>
          <w:tcPr>
            <w:tcW w:w="1298" w:type="dxa"/>
            <w:noWrap/>
            <w:vAlign w:val="bottom"/>
            <w:hideMark/>
          </w:tcPr>
          <w:p w14:paraId="02077AAD" w14:textId="5AAB79D4" w:rsidR="00F632AA" w:rsidRPr="00ED1580" w:rsidRDefault="00D94404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50,00</w:t>
            </w:r>
          </w:p>
        </w:tc>
        <w:tc>
          <w:tcPr>
            <w:tcW w:w="1298" w:type="dxa"/>
            <w:noWrap/>
            <w:vAlign w:val="bottom"/>
            <w:hideMark/>
          </w:tcPr>
          <w:p w14:paraId="73F9E2BC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80" w:type="dxa"/>
            <w:noWrap/>
            <w:vAlign w:val="bottom"/>
            <w:hideMark/>
          </w:tcPr>
          <w:p w14:paraId="547C46BA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0.00%</w:t>
            </w:r>
          </w:p>
        </w:tc>
      </w:tr>
      <w:tr w:rsidR="00F632AA" w:rsidRPr="00ED1580" w14:paraId="0621D8A3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533CFD36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65CAF308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933" w:type="dxa"/>
            <w:noWrap/>
            <w:vAlign w:val="bottom"/>
            <w:hideMark/>
          </w:tcPr>
          <w:p w14:paraId="35DA61C2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Materijalni rashodi</w:t>
            </w:r>
          </w:p>
        </w:tc>
        <w:tc>
          <w:tcPr>
            <w:tcW w:w="1298" w:type="dxa"/>
            <w:noWrap/>
            <w:vAlign w:val="bottom"/>
            <w:hideMark/>
          </w:tcPr>
          <w:p w14:paraId="15E51FE1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767.40</w:t>
            </w:r>
          </w:p>
        </w:tc>
        <w:tc>
          <w:tcPr>
            <w:tcW w:w="1298" w:type="dxa"/>
            <w:noWrap/>
            <w:vAlign w:val="bottom"/>
            <w:hideMark/>
          </w:tcPr>
          <w:p w14:paraId="1204AA65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320.20</w:t>
            </w:r>
          </w:p>
        </w:tc>
        <w:tc>
          <w:tcPr>
            <w:tcW w:w="980" w:type="dxa"/>
            <w:noWrap/>
            <w:vAlign w:val="bottom"/>
            <w:hideMark/>
          </w:tcPr>
          <w:p w14:paraId="5809AC3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41.73%</w:t>
            </w:r>
          </w:p>
        </w:tc>
      </w:tr>
      <w:tr w:rsidR="00F632AA" w:rsidRPr="00ED1580" w14:paraId="733E0B60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5B80A055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7093C2C7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3211</w:t>
            </w:r>
          </w:p>
        </w:tc>
        <w:tc>
          <w:tcPr>
            <w:tcW w:w="3933" w:type="dxa"/>
            <w:noWrap/>
            <w:vAlign w:val="bottom"/>
            <w:hideMark/>
          </w:tcPr>
          <w:p w14:paraId="6FA44DB1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Službena putovanja</w:t>
            </w:r>
          </w:p>
        </w:tc>
        <w:tc>
          <w:tcPr>
            <w:tcW w:w="1298" w:type="dxa"/>
            <w:noWrap/>
            <w:vAlign w:val="bottom"/>
            <w:hideMark/>
          </w:tcPr>
          <w:p w14:paraId="0D4573D1" w14:textId="403E69F2" w:rsidR="00F632AA" w:rsidRPr="00ED1580" w:rsidRDefault="00D94404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200,00</w:t>
            </w:r>
          </w:p>
        </w:tc>
        <w:tc>
          <w:tcPr>
            <w:tcW w:w="1298" w:type="dxa"/>
            <w:noWrap/>
            <w:vAlign w:val="bottom"/>
            <w:hideMark/>
          </w:tcPr>
          <w:p w14:paraId="3C78DDC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20.20</w:t>
            </w:r>
          </w:p>
        </w:tc>
        <w:tc>
          <w:tcPr>
            <w:tcW w:w="980" w:type="dxa"/>
            <w:noWrap/>
            <w:vAlign w:val="bottom"/>
            <w:hideMark/>
          </w:tcPr>
          <w:p w14:paraId="03E13F17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01E9F" w:rsidRPr="00ED1580" w14:paraId="40ABC629" w14:textId="77777777" w:rsidTr="008B0D10">
        <w:trPr>
          <w:trHeight w:val="63"/>
        </w:trPr>
        <w:tc>
          <w:tcPr>
            <w:tcW w:w="644" w:type="dxa"/>
            <w:noWrap/>
            <w:vAlign w:val="bottom"/>
          </w:tcPr>
          <w:p w14:paraId="64CADF2F" w14:textId="095CABED" w:rsidR="00E01E9F" w:rsidRPr="00ED1580" w:rsidRDefault="00E01E9F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            3221</w:t>
            </w:r>
          </w:p>
        </w:tc>
        <w:tc>
          <w:tcPr>
            <w:tcW w:w="1814" w:type="dxa"/>
            <w:noWrap/>
            <w:vAlign w:val="bottom"/>
          </w:tcPr>
          <w:p w14:paraId="55E0F04E" w14:textId="77777777" w:rsidR="00E01E9F" w:rsidRPr="00ED1580" w:rsidRDefault="00E01E9F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33" w:type="dxa"/>
            <w:noWrap/>
            <w:vAlign w:val="bottom"/>
          </w:tcPr>
          <w:p w14:paraId="316FBF32" w14:textId="77777777" w:rsidR="00E01E9F" w:rsidRPr="00ED1580" w:rsidRDefault="00E01E9F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</w:tcPr>
          <w:p w14:paraId="2706B95B" w14:textId="77777777" w:rsidR="00E01E9F" w:rsidRDefault="00E01E9F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</w:tcPr>
          <w:p w14:paraId="4801A9E1" w14:textId="77777777" w:rsidR="00E01E9F" w:rsidRPr="00ED1580" w:rsidRDefault="00E01E9F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noWrap/>
            <w:vAlign w:val="bottom"/>
          </w:tcPr>
          <w:p w14:paraId="02DF0412" w14:textId="77777777" w:rsidR="00E01E9F" w:rsidRPr="00ED1580" w:rsidRDefault="00E01E9F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30C695B3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2E4760A8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54CC9B42" w14:textId="228F78C5" w:rsidR="00E01E9F" w:rsidRDefault="00E01E9F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                  </w:t>
            </w:r>
          </w:p>
          <w:p w14:paraId="0353CD66" w14:textId="652197E2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3237</w:t>
            </w:r>
          </w:p>
        </w:tc>
        <w:tc>
          <w:tcPr>
            <w:tcW w:w="3933" w:type="dxa"/>
            <w:noWrap/>
            <w:vAlign w:val="bottom"/>
            <w:hideMark/>
          </w:tcPr>
          <w:p w14:paraId="40FB76A8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Intelektualne i osobne usluge</w:t>
            </w:r>
          </w:p>
        </w:tc>
        <w:tc>
          <w:tcPr>
            <w:tcW w:w="1298" w:type="dxa"/>
            <w:noWrap/>
            <w:vAlign w:val="bottom"/>
            <w:hideMark/>
          </w:tcPr>
          <w:p w14:paraId="0A03D225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  <w:hideMark/>
          </w:tcPr>
          <w:p w14:paraId="4FA18804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300.00</w:t>
            </w:r>
          </w:p>
        </w:tc>
        <w:tc>
          <w:tcPr>
            <w:tcW w:w="980" w:type="dxa"/>
            <w:noWrap/>
            <w:vAlign w:val="bottom"/>
            <w:hideMark/>
          </w:tcPr>
          <w:p w14:paraId="02EBF29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01E9F" w:rsidRPr="00ED1580" w14:paraId="03A33342" w14:textId="77777777" w:rsidTr="008B0D10">
        <w:trPr>
          <w:trHeight w:val="63"/>
        </w:trPr>
        <w:tc>
          <w:tcPr>
            <w:tcW w:w="644" w:type="dxa"/>
            <w:noWrap/>
            <w:vAlign w:val="bottom"/>
          </w:tcPr>
          <w:p w14:paraId="4006A8EC" w14:textId="77777777" w:rsidR="00E01E9F" w:rsidRPr="00ED1580" w:rsidRDefault="00E01E9F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</w:tcPr>
          <w:p w14:paraId="5A8B2A84" w14:textId="77777777" w:rsidR="00E01E9F" w:rsidRDefault="00E01E9F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33" w:type="dxa"/>
            <w:noWrap/>
            <w:vAlign w:val="bottom"/>
          </w:tcPr>
          <w:p w14:paraId="27EB006B" w14:textId="77777777" w:rsidR="00E01E9F" w:rsidRPr="00ED1580" w:rsidRDefault="00E01E9F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</w:tcPr>
          <w:p w14:paraId="7D7BC303" w14:textId="77777777" w:rsidR="00E01E9F" w:rsidRPr="00ED1580" w:rsidRDefault="00E01E9F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</w:tcPr>
          <w:p w14:paraId="0FF5487F" w14:textId="77777777" w:rsidR="00E01E9F" w:rsidRPr="00ED1580" w:rsidRDefault="00E01E9F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noWrap/>
            <w:vAlign w:val="bottom"/>
          </w:tcPr>
          <w:p w14:paraId="4FEAF419" w14:textId="77777777" w:rsidR="00E01E9F" w:rsidRPr="00ED1580" w:rsidRDefault="00E01E9F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0643AE33" w14:textId="77777777" w:rsidTr="008B0D10">
        <w:trPr>
          <w:trHeight w:val="63"/>
        </w:trPr>
        <w:tc>
          <w:tcPr>
            <w:tcW w:w="644" w:type="dxa"/>
            <w:shd w:val="clear" w:color="000000" w:fill="FFFF99"/>
            <w:noWrap/>
            <w:vAlign w:val="bottom"/>
            <w:hideMark/>
          </w:tcPr>
          <w:p w14:paraId="4D69BDC2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4" w:type="dxa"/>
            <w:shd w:val="clear" w:color="000000" w:fill="FFFF99"/>
            <w:noWrap/>
            <w:vAlign w:val="bottom"/>
            <w:hideMark/>
          </w:tcPr>
          <w:p w14:paraId="6CA1A220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A800102</w:t>
            </w:r>
          </w:p>
        </w:tc>
        <w:tc>
          <w:tcPr>
            <w:tcW w:w="3933" w:type="dxa"/>
            <w:shd w:val="clear" w:color="000000" w:fill="FFFF99"/>
            <w:noWrap/>
            <w:vAlign w:val="bottom"/>
            <w:hideMark/>
          </w:tcPr>
          <w:p w14:paraId="0FD59FFC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Aktivnost: PROGRAMSKA AKTIVNOST - VLAŠKI PUTI- OČUVAJMO NAŠ JEZIK I TRADICIJU</w:t>
            </w:r>
          </w:p>
        </w:tc>
        <w:tc>
          <w:tcPr>
            <w:tcW w:w="1298" w:type="dxa"/>
            <w:shd w:val="clear" w:color="000000" w:fill="FFFF99"/>
            <w:noWrap/>
            <w:vAlign w:val="bottom"/>
            <w:hideMark/>
          </w:tcPr>
          <w:p w14:paraId="116751DA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9,773.00</w:t>
            </w:r>
          </w:p>
        </w:tc>
        <w:tc>
          <w:tcPr>
            <w:tcW w:w="1298" w:type="dxa"/>
            <w:shd w:val="clear" w:color="000000" w:fill="FFFF99"/>
            <w:noWrap/>
            <w:vAlign w:val="bottom"/>
            <w:hideMark/>
          </w:tcPr>
          <w:p w14:paraId="43BBE0BA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9,681.31</w:t>
            </w:r>
          </w:p>
        </w:tc>
        <w:tc>
          <w:tcPr>
            <w:tcW w:w="980" w:type="dxa"/>
            <w:shd w:val="clear" w:color="000000" w:fill="FFFF99"/>
            <w:noWrap/>
            <w:vAlign w:val="bottom"/>
            <w:hideMark/>
          </w:tcPr>
          <w:p w14:paraId="19A912D1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99.06%</w:t>
            </w:r>
          </w:p>
        </w:tc>
      </w:tr>
      <w:tr w:rsidR="00F632AA" w:rsidRPr="00ED1580" w14:paraId="5BC338C9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6D7E9EEF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2DA430CF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1. OPĆI PRIHODI I PRIMICI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0EF143F4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863.00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58C89772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861.33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2266C5E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99.81%</w:t>
            </w:r>
          </w:p>
        </w:tc>
      </w:tr>
      <w:tr w:rsidR="00F632AA" w:rsidRPr="00ED1580" w14:paraId="7354469A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6B665940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507ACB1C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1.1.0 OPĆI PRIHODI I PRIMICI PRORAČUNA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11CEC984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863.00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4515865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861.33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65CFE36A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99.81%</w:t>
            </w:r>
          </w:p>
        </w:tc>
      </w:tr>
      <w:tr w:rsidR="00F632AA" w:rsidRPr="00ED1580" w14:paraId="50D7E519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03256DC5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4DF0E0BA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933" w:type="dxa"/>
            <w:noWrap/>
            <w:vAlign w:val="bottom"/>
            <w:hideMark/>
          </w:tcPr>
          <w:p w14:paraId="2CEA2853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Materijalni rashodi</w:t>
            </w:r>
          </w:p>
        </w:tc>
        <w:tc>
          <w:tcPr>
            <w:tcW w:w="1298" w:type="dxa"/>
            <w:noWrap/>
            <w:vAlign w:val="bottom"/>
            <w:hideMark/>
          </w:tcPr>
          <w:p w14:paraId="2E19C016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863.00</w:t>
            </w:r>
          </w:p>
        </w:tc>
        <w:tc>
          <w:tcPr>
            <w:tcW w:w="1298" w:type="dxa"/>
            <w:noWrap/>
            <w:vAlign w:val="bottom"/>
            <w:hideMark/>
          </w:tcPr>
          <w:p w14:paraId="2CEACDDB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861.33</w:t>
            </w:r>
          </w:p>
        </w:tc>
        <w:tc>
          <w:tcPr>
            <w:tcW w:w="980" w:type="dxa"/>
            <w:noWrap/>
            <w:vAlign w:val="bottom"/>
            <w:hideMark/>
          </w:tcPr>
          <w:p w14:paraId="46E8176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99.81%</w:t>
            </w:r>
          </w:p>
        </w:tc>
      </w:tr>
      <w:tr w:rsidR="00F632AA" w:rsidRPr="00ED1580" w14:paraId="6F6E6D8C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057CDFE1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22A56E84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3237</w:t>
            </w:r>
          </w:p>
        </w:tc>
        <w:tc>
          <w:tcPr>
            <w:tcW w:w="3933" w:type="dxa"/>
            <w:noWrap/>
            <w:vAlign w:val="bottom"/>
            <w:hideMark/>
          </w:tcPr>
          <w:p w14:paraId="3F8D8523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Intelektualne i osobne usluge</w:t>
            </w:r>
          </w:p>
        </w:tc>
        <w:tc>
          <w:tcPr>
            <w:tcW w:w="1298" w:type="dxa"/>
            <w:noWrap/>
            <w:vAlign w:val="bottom"/>
            <w:hideMark/>
          </w:tcPr>
          <w:p w14:paraId="3339589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  <w:hideMark/>
          </w:tcPr>
          <w:p w14:paraId="3A099B7C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861.33</w:t>
            </w:r>
          </w:p>
        </w:tc>
        <w:tc>
          <w:tcPr>
            <w:tcW w:w="980" w:type="dxa"/>
            <w:noWrap/>
            <w:vAlign w:val="bottom"/>
            <w:hideMark/>
          </w:tcPr>
          <w:p w14:paraId="1D9EC814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7B4FD336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7A6D7C3B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5543E4AF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4. PRIHODI ZA POSEBNE NAMJENE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28A8F427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1,510.00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74AB4931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1,419.98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6A23D283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94.04%</w:t>
            </w:r>
          </w:p>
        </w:tc>
      </w:tr>
      <w:tr w:rsidR="00F632AA" w:rsidRPr="00ED1580" w14:paraId="45587B25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4066C6D6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41E6E246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4.4.1 PRIHODI ZA POSEBNE NAMJENE - VLAŠKI PUTI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51836BCC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84.00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39CB5F2E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4A0F3B08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0.00%</w:t>
            </w:r>
          </w:p>
        </w:tc>
      </w:tr>
      <w:tr w:rsidR="00F632AA" w:rsidRPr="00ED1580" w14:paraId="7D05B50E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6E792117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37F769B7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933" w:type="dxa"/>
            <w:noWrap/>
            <w:vAlign w:val="bottom"/>
            <w:hideMark/>
          </w:tcPr>
          <w:p w14:paraId="299F5CC9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Materijalni rashodi</w:t>
            </w:r>
          </w:p>
        </w:tc>
        <w:tc>
          <w:tcPr>
            <w:tcW w:w="1298" w:type="dxa"/>
            <w:noWrap/>
            <w:vAlign w:val="bottom"/>
            <w:hideMark/>
          </w:tcPr>
          <w:p w14:paraId="61B7538C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84.00</w:t>
            </w:r>
          </w:p>
        </w:tc>
        <w:tc>
          <w:tcPr>
            <w:tcW w:w="1298" w:type="dxa"/>
            <w:noWrap/>
            <w:vAlign w:val="bottom"/>
            <w:hideMark/>
          </w:tcPr>
          <w:p w14:paraId="510D1B78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80" w:type="dxa"/>
            <w:noWrap/>
            <w:vAlign w:val="bottom"/>
            <w:hideMark/>
          </w:tcPr>
          <w:p w14:paraId="7EE39CDD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0.00%</w:t>
            </w:r>
          </w:p>
        </w:tc>
      </w:tr>
      <w:tr w:rsidR="00F632AA" w:rsidRPr="00ED1580" w14:paraId="32B2CC8E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5EFFD424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177A653D" w14:textId="6A2BD8FC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4.4.1922 PRIHODI ZA POSEBNE NAMJENE VLAŠ</w:t>
            </w:r>
            <w:r w:rsidR="00B6252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K</w:t>
            </w: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 PUTI - VIŠAK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4D8A87D0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1,426.00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5689084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1,419.98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62109F0E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99.58%</w:t>
            </w:r>
          </w:p>
        </w:tc>
      </w:tr>
      <w:tr w:rsidR="00F632AA" w:rsidRPr="00ED1580" w14:paraId="20BB3BA0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105E2FB7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085947F1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3933" w:type="dxa"/>
            <w:noWrap/>
            <w:vAlign w:val="bottom"/>
            <w:hideMark/>
          </w:tcPr>
          <w:p w14:paraId="64298E76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Rashodi za zaposlene</w:t>
            </w:r>
          </w:p>
        </w:tc>
        <w:tc>
          <w:tcPr>
            <w:tcW w:w="1298" w:type="dxa"/>
            <w:noWrap/>
            <w:vAlign w:val="bottom"/>
            <w:hideMark/>
          </w:tcPr>
          <w:p w14:paraId="294B41A0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1,426.00</w:t>
            </w:r>
          </w:p>
        </w:tc>
        <w:tc>
          <w:tcPr>
            <w:tcW w:w="1298" w:type="dxa"/>
            <w:noWrap/>
            <w:vAlign w:val="bottom"/>
            <w:hideMark/>
          </w:tcPr>
          <w:p w14:paraId="47215B2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1,419.98</w:t>
            </w:r>
          </w:p>
        </w:tc>
        <w:tc>
          <w:tcPr>
            <w:tcW w:w="980" w:type="dxa"/>
            <w:noWrap/>
            <w:vAlign w:val="bottom"/>
            <w:hideMark/>
          </w:tcPr>
          <w:p w14:paraId="65B30B0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99.58%</w:t>
            </w:r>
          </w:p>
        </w:tc>
      </w:tr>
      <w:tr w:rsidR="00F632AA" w:rsidRPr="00ED1580" w14:paraId="71158AB7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49EB3D6B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60A018F9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3111</w:t>
            </w:r>
          </w:p>
        </w:tc>
        <w:tc>
          <w:tcPr>
            <w:tcW w:w="3933" w:type="dxa"/>
            <w:noWrap/>
            <w:vAlign w:val="bottom"/>
            <w:hideMark/>
          </w:tcPr>
          <w:p w14:paraId="78EADFE5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Plaće za redovan rad</w:t>
            </w:r>
          </w:p>
        </w:tc>
        <w:tc>
          <w:tcPr>
            <w:tcW w:w="1298" w:type="dxa"/>
            <w:noWrap/>
            <w:vAlign w:val="bottom"/>
            <w:hideMark/>
          </w:tcPr>
          <w:p w14:paraId="659C536B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  <w:hideMark/>
          </w:tcPr>
          <w:p w14:paraId="39391A32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1,219.78</w:t>
            </w:r>
          </w:p>
        </w:tc>
        <w:tc>
          <w:tcPr>
            <w:tcW w:w="980" w:type="dxa"/>
            <w:noWrap/>
            <w:vAlign w:val="bottom"/>
            <w:hideMark/>
          </w:tcPr>
          <w:p w14:paraId="5EAEC056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06F1DB23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627788C3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1EC68B77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3132</w:t>
            </w:r>
          </w:p>
        </w:tc>
        <w:tc>
          <w:tcPr>
            <w:tcW w:w="3933" w:type="dxa"/>
            <w:noWrap/>
            <w:vAlign w:val="bottom"/>
            <w:hideMark/>
          </w:tcPr>
          <w:p w14:paraId="41E119EA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Doprinosi za obvezno zdravstveno osiguranje</w:t>
            </w:r>
          </w:p>
        </w:tc>
        <w:tc>
          <w:tcPr>
            <w:tcW w:w="1298" w:type="dxa"/>
            <w:noWrap/>
            <w:vAlign w:val="bottom"/>
            <w:hideMark/>
          </w:tcPr>
          <w:p w14:paraId="73ABFCF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  <w:hideMark/>
          </w:tcPr>
          <w:p w14:paraId="2815BE6C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200.20</w:t>
            </w:r>
          </w:p>
        </w:tc>
        <w:tc>
          <w:tcPr>
            <w:tcW w:w="980" w:type="dxa"/>
            <w:noWrap/>
            <w:vAlign w:val="bottom"/>
            <w:hideMark/>
          </w:tcPr>
          <w:p w14:paraId="6536EB68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2BE837DE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077085D7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02CB3E75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5. POMOĆI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4A27CE91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7,400.00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742C7621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7,400.00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68BCBE95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100.00%</w:t>
            </w:r>
          </w:p>
        </w:tc>
      </w:tr>
      <w:tr w:rsidR="00F632AA" w:rsidRPr="00ED1580" w14:paraId="3FC8A3A5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06B3FC0B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41D8F4E8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5.2.2 Tekuće pomoći iz Držav. prorač.PK Prorač.JLp(r)S-Vlaški puti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3B3849FD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3,900.00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797B435A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3,900.00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08D3C8BD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100.00%</w:t>
            </w:r>
          </w:p>
        </w:tc>
      </w:tr>
      <w:tr w:rsidR="00F632AA" w:rsidRPr="00ED1580" w14:paraId="231671DC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0F3AD87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5F9034A9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3933" w:type="dxa"/>
            <w:noWrap/>
            <w:vAlign w:val="bottom"/>
            <w:hideMark/>
          </w:tcPr>
          <w:p w14:paraId="3A411DE6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Rashodi za zaposlene</w:t>
            </w:r>
          </w:p>
        </w:tc>
        <w:tc>
          <w:tcPr>
            <w:tcW w:w="1298" w:type="dxa"/>
            <w:noWrap/>
            <w:vAlign w:val="bottom"/>
            <w:hideMark/>
          </w:tcPr>
          <w:p w14:paraId="6F24C69C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3,900.00</w:t>
            </w:r>
          </w:p>
        </w:tc>
        <w:tc>
          <w:tcPr>
            <w:tcW w:w="1298" w:type="dxa"/>
            <w:noWrap/>
            <w:vAlign w:val="bottom"/>
            <w:hideMark/>
          </w:tcPr>
          <w:p w14:paraId="70E44881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3,900.00</w:t>
            </w:r>
          </w:p>
        </w:tc>
        <w:tc>
          <w:tcPr>
            <w:tcW w:w="980" w:type="dxa"/>
            <w:noWrap/>
            <w:vAlign w:val="bottom"/>
            <w:hideMark/>
          </w:tcPr>
          <w:p w14:paraId="00BE6432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100.00%</w:t>
            </w:r>
          </w:p>
        </w:tc>
      </w:tr>
      <w:tr w:rsidR="00F632AA" w:rsidRPr="00ED1580" w14:paraId="452D8A69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2F1AD865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33EC6702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3111</w:t>
            </w:r>
          </w:p>
        </w:tc>
        <w:tc>
          <w:tcPr>
            <w:tcW w:w="3933" w:type="dxa"/>
            <w:noWrap/>
            <w:vAlign w:val="bottom"/>
            <w:hideMark/>
          </w:tcPr>
          <w:p w14:paraId="0F387E6D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Plaće za redovan rad</w:t>
            </w:r>
          </w:p>
        </w:tc>
        <w:tc>
          <w:tcPr>
            <w:tcW w:w="1298" w:type="dxa"/>
            <w:noWrap/>
            <w:vAlign w:val="bottom"/>
            <w:hideMark/>
          </w:tcPr>
          <w:p w14:paraId="0556CA65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  <w:hideMark/>
          </w:tcPr>
          <w:p w14:paraId="6D9F35A8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3,347.00</w:t>
            </w:r>
          </w:p>
        </w:tc>
        <w:tc>
          <w:tcPr>
            <w:tcW w:w="980" w:type="dxa"/>
            <w:noWrap/>
            <w:vAlign w:val="bottom"/>
            <w:hideMark/>
          </w:tcPr>
          <w:p w14:paraId="0FDA4FA1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21446280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7F23BD73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1927E6C8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3132</w:t>
            </w:r>
          </w:p>
        </w:tc>
        <w:tc>
          <w:tcPr>
            <w:tcW w:w="3933" w:type="dxa"/>
            <w:noWrap/>
            <w:vAlign w:val="bottom"/>
            <w:hideMark/>
          </w:tcPr>
          <w:p w14:paraId="2ACD3FD4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Doprinosi za obvezno zdravstveno osiguranje</w:t>
            </w:r>
          </w:p>
        </w:tc>
        <w:tc>
          <w:tcPr>
            <w:tcW w:w="1298" w:type="dxa"/>
            <w:noWrap/>
            <w:vAlign w:val="bottom"/>
            <w:hideMark/>
          </w:tcPr>
          <w:p w14:paraId="1F167232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  <w:hideMark/>
          </w:tcPr>
          <w:p w14:paraId="3B27BB43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553.00</w:t>
            </w:r>
          </w:p>
        </w:tc>
        <w:tc>
          <w:tcPr>
            <w:tcW w:w="980" w:type="dxa"/>
            <w:noWrap/>
            <w:vAlign w:val="bottom"/>
            <w:hideMark/>
          </w:tcPr>
          <w:p w14:paraId="7E47BDAC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651C61EA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57839B72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6EEF412C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5.2.3 TEKUĆE POMOĆI PK IZ PRORAČ.JLP(R)S KOJI IM NIJE NADLEŽAN -VP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6BA4303D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3,500.00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14DB8CB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3,500.00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45B252B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100.00%</w:t>
            </w:r>
          </w:p>
        </w:tc>
      </w:tr>
      <w:tr w:rsidR="00F632AA" w:rsidRPr="00ED1580" w14:paraId="66F56B8A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0CE53EA1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51A05A30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3933" w:type="dxa"/>
            <w:noWrap/>
            <w:vAlign w:val="bottom"/>
            <w:hideMark/>
          </w:tcPr>
          <w:p w14:paraId="0FB0CA05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Rashodi za zaposlene</w:t>
            </w:r>
          </w:p>
        </w:tc>
        <w:tc>
          <w:tcPr>
            <w:tcW w:w="1298" w:type="dxa"/>
            <w:noWrap/>
            <w:vAlign w:val="bottom"/>
            <w:hideMark/>
          </w:tcPr>
          <w:p w14:paraId="0C42C87C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3,500.00</w:t>
            </w:r>
          </w:p>
        </w:tc>
        <w:tc>
          <w:tcPr>
            <w:tcW w:w="1298" w:type="dxa"/>
            <w:noWrap/>
            <w:vAlign w:val="bottom"/>
            <w:hideMark/>
          </w:tcPr>
          <w:p w14:paraId="7911E608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3,500.00</w:t>
            </w:r>
          </w:p>
        </w:tc>
        <w:tc>
          <w:tcPr>
            <w:tcW w:w="980" w:type="dxa"/>
            <w:noWrap/>
            <w:vAlign w:val="bottom"/>
            <w:hideMark/>
          </w:tcPr>
          <w:p w14:paraId="3EB2A875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100.00%</w:t>
            </w:r>
          </w:p>
        </w:tc>
      </w:tr>
      <w:tr w:rsidR="00F632AA" w:rsidRPr="00ED1580" w14:paraId="037EB4EB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702B8192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5016A238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3111</w:t>
            </w:r>
          </w:p>
        </w:tc>
        <w:tc>
          <w:tcPr>
            <w:tcW w:w="3933" w:type="dxa"/>
            <w:noWrap/>
            <w:vAlign w:val="bottom"/>
            <w:hideMark/>
          </w:tcPr>
          <w:p w14:paraId="0F5A12A4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Plaće za redovan rad</w:t>
            </w:r>
          </w:p>
        </w:tc>
        <w:tc>
          <w:tcPr>
            <w:tcW w:w="1298" w:type="dxa"/>
            <w:noWrap/>
            <w:vAlign w:val="bottom"/>
            <w:hideMark/>
          </w:tcPr>
          <w:p w14:paraId="0D89DE52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  <w:hideMark/>
          </w:tcPr>
          <w:p w14:paraId="7D22A0DD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3,004.00</w:t>
            </w:r>
          </w:p>
        </w:tc>
        <w:tc>
          <w:tcPr>
            <w:tcW w:w="980" w:type="dxa"/>
            <w:noWrap/>
            <w:vAlign w:val="bottom"/>
            <w:hideMark/>
          </w:tcPr>
          <w:p w14:paraId="34823D84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0E8A3785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2EEF452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2C3DDD30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3132</w:t>
            </w:r>
          </w:p>
        </w:tc>
        <w:tc>
          <w:tcPr>
            <w:tcW w:w="3933" w:type="dxa"/>
            <w:noWrap/>
            <w:vAlign w:val="bottom"/>
            <w:hideMark/>
          </w:tcPr>
          <w:p w14:paraId="5C5B4E5B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Doprinosi za obvezno zdravstveno osiguranje</w:t>
            </w:r>
          </w:p>
        </w:tc>
        <w:tc>
          <w:tcPr>
            <w:tcW w:w="1298" w:type="dxa"/>
            <w:noWrap/>
            <w:vAlign w:val="bottom"/>
            <w:hideMark/>
          </w:tcPr>
          <w:p w14:paraId="35D9E3A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  <w:hideMark/>
          </w:tcPr>
          <w:p w14:paraId="03007643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496.00</w:t>
            </w:r>
          </w:p>
        </w:tc>
        <w:tc>
          <w:tcPr>
            <w:tcW w:w="980" w:type="dxa"/>
            <w:noWrap/>
            <w:vAlign w:val="bottom"/>
            <w:hideMark/>
          </w:tcPr>
          <w:p w14:paraId="43C598F8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3F8B6DF8" w14:textId="77777777" w:rsidTr="008B0D10">
        <w:trPr>
          <w:trHeight w:val="63"/>
        </w:trPr>
        <w:tc>
          <w:tcPr>
            <w:tcW w:w="644" w:type="dxa"/>
            <w:shd w:val="clear" w:color="000000" w:fill="FFFF99"/>
            <w:noWrap/>
            <w:vAlign w:val="bottom"/>
            <w:hideMark/>
          </w:tcPr>
          <w:p w14:paraId="67809021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4" w:type="dxa"/>
            <w:shd w:val="clear" w:color="000000" w:fill="FFFF99"/>
            <w:noWrap/>
            <w:vAlign w:val="bottom"/>
            <w:hideMark/>
          </w:tcPr>
          <w:p w14:paraId="4A261F46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A800103</w:t>
            </w:r>
          </w:p>
        </w:tc>
        <w:tc>
          <w:tcPr>
            <w:tcW w:w="3933" w:type="dxa"/>
            <w:shd w:val="clear" w:color="000000" w:fill="FFFF99"/>
            <w:noWrap/>
            <w:vAlign w:val="bottom"/>
            <w:hideMark/>
          </w:tcPr>
          <w:p w14:paraId="338A9FBD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Aktivnost: PROGRAMSKA AKTIVNOST - VLAŠKI PUTI - IZRADA DIGITALNIH SADRŽAJA NA VLAŠKOM JEZIKU</w:t>
            </w:r>
          </w:p>
        </w:tc>
        <w:tc>
          <w:tcPr>
            <w:tcW w:w="1298" w:type="dxa"/>
            <w:shd w:val="clear" w:color="000000" w:fill="FFFF99"/>
            <w:noWrap/>
            <w:vAlign w:val="bottom"/>
            <w:hideMark/>
          </w:tcPr>
          <w:p w14:paraId="681EF14C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3,582.00</w:t>
            </w:r>
          </w:p>
        </w:tc>
        <w:tc>
          <w:tcPr>
            <w:tcW w:w="1298" w:type="dxa"/>
            <w:shd w:val="clear" w:color="000000" w:fill="FFFF99"/>
            <w:noWrap/>
            <w:vAlign w:val="bottom"/>
            <w:hideMark/>
          </w:tcPr>
          <w:p w14:paraId="061BD012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3,461.60</w:t>
            </w:r>
          </w:p>
        </w:tc>
        <w:tc>
          <w:tcPr>
            <w:tcW w:w="980" w:type="dxa"/>
            <w:shd w:val="clear" w:color="000000" w:fill="FFFF99"/>
            <w:noWrap/>
            <w:vAlign w:val="bottom"/>
            <w:hideMark/>
          </w:tcPr>
          <w:p w14:paraId="740A05B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96.64%</w:t>
            </w:r>
          </w:p>
        </w:tc>
      </w:tr>
      <w:tr w:rsidR="00F632AA" w:rsidRPr="00ED1580" w14:paraId="2A887196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6306870D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0C77F443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1. OPĆI PRIHODI I PRIMICI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70E26F73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332.00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39DA8910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211.60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0FC8EF13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63.73%</w:t>
            </w:r>
          </w:p>
        </w:tc>
      </w:tr>
      <w:tr w:rsidR="00F632AA" w:rsidRPr="00ED1580" w14:paraId="4EC04DFE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4F7A5E7C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24879078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1.1.0 OPĆI PRIHODI I PRIMICI PRORAČUNA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7FBE01C3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332.00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3756A28E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211.60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11A7003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63.73%</w:t>
            </w:r>
          </w:p>
        </w:tc>
      </w:tr>
      <w:tr w:rsidR="00F632AA" w:rsidRPr="00ED1580" w14:paraId="1F515D6D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427CE775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4CC859B5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933" w:type="dxa"/>
            <w:noWrap/>
            <w:vAlign w:val="bottom"/>
            <w:hideMark/>
          </w:tcPr>
          <w:p w14:paraId="3D26454D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Materijalni rashodi</w:t>
            </w:r>
          </w:p>
        </w:tc>
        <w:tc>
          <w:tcPr>
            <w:tcW w:w="1298" w:type="dxa"/>
            <w:noWrap/>
            <w:vAlign w:val="bottom"/>
            <w:hideMark/>
          </w:tcPr>
          <w:p w14:paraId="003D7EEE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332.00</w:t>
            </w:r>
          </w:p>
        </w:tc>
        <w:tc>
          <w:tcPr>
            <w:tcW w:w="1298" w:type="dxa"/>
            <w:noWrap/>
            <w:vAlign w:val="bottom"/>
            <w:hideMark/>
          </w:tcPr>
          <w:p w14:paraId="523B2FC6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211.60</w:t>
            </w:r>
          </w:p>
        </w:tc>
        <w:tc>
          <w:tcPr>
            <w:tcW w:w="980" w:type="dxa"/>
            <w:noWrap/>
            <w:vAlign w:val="bottom"/>
            <w:hideMark/>
          </w:tcPr>
          <w:p w14:paraId="43A4AB6D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63.73%</w:t>
            </w:r>
          </w:p>
        </w:tc>
      </w:tr>
      <w:tr w:rsidR="00F632AA" w:rsidRPr="00ED1580" w14:paraId="3D55AF1B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0F79D67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50268CF1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3237</w:t>
            </w:r>
          </w:p>
        </w:tc>
        <w:tc>
          <w:tcPr>
            <w:tcW w:w="3933" w:type="dxa"/>
            <w:noWrap/>
            <w:vAlign w:val="bottom"/>
            <w:hideMark/>
          </w:tcPr>
          <w:p w14:paraId="71F9EC57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Intelektualne i osobne usluge</w:t>
            </w:r>
          </w:p>
        </w:tc>
        <w:tc>
          <w:tcPr>
            <w:tcW w:w="1298" w:type="dxa"/>
            <w:noWrap/>
            <w:vAlign w:val="bottom"/>
            <w:hideMark/>
          </w:tcPr>
          <w:p w14:paraId="1BECA9F0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  <w:hideMark/>
          </w:tcPr>
          <w:p w14:paraId="6140180E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211.60</w:t>
            </w:r>
          </w:p>
        </w:tc>
        <w:tc>
          <w:tcPr>
            <w:tcW w:w="980" w:type="dxa"/>
            <w:noWrap/>
            <w:vAlign w:val="bottom"/>
            <w:hideMark/>
          </w:tcPr>
          <w:p w14:paraId="72E7AFF1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0BF7447F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1B2B70B5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6C8F97AF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5. POMOĆI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5BBAFCCC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3,250.00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2F81116D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3,250.00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05864AFB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100.00%</w:t>
            </w:r>
          </w:p>
        </w:tc>
      </w:tr>
      <w:tr w:rsidR="00F632AA" w:rsidRPr="00ED1580" w14:paraId="1B3ACF62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280B704A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59DF8A8B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5.2.2 Tekuće pomoći iz Držav. prorač.PK Prorač.JLp(r)S-Vlaški puti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6FD2D128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3,250.00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05AEE37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3,250.00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215A2B46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100.00%</w:t>
            </w:r>
          </w:p>
        </w:tc>
      </w:tr>
      <w:tr w:rsidR="00F632AA" w:rsidRPr="00ED1580" w14:paraId="4A7E18FA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3A32A9DC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44AB2CCC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933" w:type="dxa"/>
            <w:noWrap/>
            <w:vAlign w:val="bottom"/>
            <w:hideMark/>
          </w:tcPr>
          <w:p w14:paraId="75E259B6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Materijalni rashodi</w:t>
            </w:r>
          </w:p>
        </w:tc>
        <w:tc>
          <w:tcPr>
            <w:tcW w:w="1298" w:type="dxa"/>
            <w:noWrap/>
            <w:vAlign w:val="bottom"/>
            <w:hideMark/>
          </w:tcPr>
          <w:p w14:paraId="07987F86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3,250.00</w:t>
            </w:r>
          </w:p>
        </w:tc>
        <w:tc>
          <w:tcPr>
            <w:tcW w:w="1298" w:type="dxa"/>
            <w:noWrap/>
            <w:vAlign w:val="bottom"/>
            <w:hideMark/>
          </w:tcPr>
          <w:p w14:paraId="0060FA72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3,250.00</w:t>
            </w:r>
          </w:p>
        </w:tc>
        <w:tc>
          <w:tcPr>
            <w:tcW w:w="980" w:type="dxa"/>
            <w:noWrap/>
            <w:vAlign w:val="bottom"/>
            <w:hideMark/>
          </w:tcPr>
          <w:p w14:paraId="237494D3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100.00%</w:t>
            </w:r>
          </w:p>
        </w:tc>
      </w:tr>
      <w:tr w:rsidR="00F632AA" w:rsidRPr="00ED1580" w14:paraId="33189641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62910B21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7164E8CC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3237</w:t>
            </w:r>
          </w:p>
        </w:tc>
        <w:tc>
          <w:tcPr>
            <w:tcW w:w="3933" w:type="dxa"/>
            <w:noWrap/>
            <w:vAlign w:val="bottom"/>
            <w:hideMark/>
          </w:tcPr>
          <w:p w14:paraId="4743C4F5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Intelektualne i osobne usluge</w:t>
            </w:r>
          </w:p>
        </w:tc>
        <w:tc>
          <w:tcPr>
            <w:tcW w:w="1298" w:type="dxa"/>
            <w:noWrap/>
            <w:vAlign w:val="bottom"/>
            <w:hideMark/>
          </w:tcPr>
          <w:p w14:paraId="0DE7C5B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  <w:hideMark/>
          </w:tcPr>
          <w:p w14:paraId="0F99E298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3,250.00</w:t>
            </w:r>
          </w:p>
        </w:tc>
        <w:tc>
          <w:tcPr>
            <w:tcW w:w="980" w:type="dxa"/>
            <w:noWrap/>
            <w:vAlign w:val="bottom"/>
            <w:hideMark/>
          </w:tcPr>
          <w:p w14:paraId="1D968928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3439C7F8" w14:textId="77777777" w:rsidTr="008B0D10">
        <w:trPr>
          <w:trHeight w:val="63"/>
        </w:trPr>
        <w:tc>
          <w:tcPr>
            <w:tcW w:w="644" w:type="dxa"/>
            <w:shd w:val="clear" w:color="000000" w:fill="FFFF99"/>
            <w:noWrap/>
            <w:vAlign w:val="bottom"/>
            <w:hideMark/>
          </w:tcPr>
          <w:p w14:paraId="51490378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4" w:type="dxa"/>
            <w:shd w:val="clear" w:color="000000" w:fill="FFFF99"/>
            <w:noWrap/>
            <w:vAlign w:val="bottom"/>
            <w:hideMark/>
          </w:tcPr>
          <w:p w14:paraId="7916F3D9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K800102</w:t>
            </w:r>
          </w:p>
        </w:tc>
        <w:tc>
          <w:tcPr>
            <w:tcW w:w="3933" w:type="dxa"/>
            <w:shd w:val="clear" w:color="000000" w:fill="FFFF99"/>
            <w:noWrap/>
            <w:vAlign w:val="bottom"/>
            <w:hideMark/>
          </w:tcPr>
          <w:p w14:paraId="0095C332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Kapitalni projekt: UREĐENJE I OPREMANJE INTERPRETACIJSKOG CENTRA VLAŠKI PUTI, TE TEMATSKIH STAZA PUTEVIMA KONTRABANDE</w:t>
            </w:r>
          </w:p>
        </w:tc>
        <w:tc>
          <w:tcPr>
            <w:tcW w:w="1298" w:type="dxa"/>
            <w:shd w:val="clear" w:color="000000" w:fill="FFFF99"/>
            <w:noWrap/>
            <w:vAlign w:val="bottom"/>
            <w:hideMark/>
          </w:tcPr>
          <w:p w14:paraId="0C6E1648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2,543.00</w:t>
            </w:r>
          </w:p>
        </w:tc>
        <w:tc>
          <w:tcPr>
            <w:tcW w:w="1298" w:type="dxa"/>
            <w:shd w:val="clear" w:color="000000" w:fill="FFFF99"/>
            <w:noWrap/>
            <w:vAlign w:val="bottom"/>
            <w:hideMark/>
          </w:tcPr>
          <w:p w14:paraId="765975B6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3,126.12</w:t>
            </w:r>
          </w:p>
        </w:tc>
        <w:tc>
          <w:tcPr>
            <w:tcW w:w="980" w:type="dxa"/>
            <w:shd w:val="clear" w:color="000000" w:fill="FFFF99"/>
            <w:noWrap/>
            <w:vAlign w:val="bottom"/>
            <w:hideMark/>
          </w:tcPr>
          <w:p w14:paraId="6105BD3D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122.93%</w:t>
            </w:r>
          </w:p>
        </w:tc>
      </w:tr>
      <w:tr w:rsidR="00F632AA" w:rsidRPr="00ED1580" w14:paraId="6BCE9B34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27B943C5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0969ABC5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1. OPĆI PRIHODI I PRIMICI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35EF57D1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600.00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3A08D00E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519.51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7F228ED6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86.59%</w:t>
            </w:r>
          </w:p>
        </w:tc>
      </w:tr>
      <w:tr w:rsidR="00F632AA" w:rsidRPr="00ED1580" w14:paraId="4ABBDF2C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702516A5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59E2A26A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1.1.0 OPĆI PRIHODI I PRIMICI PRORAČUNA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667D9AB1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600.00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7BA45E80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519.51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6BCA4B6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86.59%</w:t>
            </w:r>
          </w:p>
        </w:tc>
      </w:tr>
      <w:tr w:rsidR="00F632AA" w:rsidRPr="00ED1580" w14:paraId="277DE7A6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246D87B5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18FBF3BD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3933" w:type="dxa"/>
            <w:noWrap/>
            <w:vAlign w:val="bottom"/>
            <w:hideMark/>
          </w:tcPr>
          <w:p w14:paraId="14C249FE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Rashodi za nabavu proizvedene dugotrajne imovine</w:t>
            </w:r>
          </w:p>
        </w:tc>
        <w:tc>
          <w:tcPr>
            <w:tcW w:w="1298" w:type="dxa"/>
            <w:noWrap/>
            <w:vAlign w:val="bottom"/>
            <w:hideMark/>
          </w:tcPr>
          <w:p w14:paraId="7C9D4ED1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600.00</w:t>
            </w:r>
          </w:p>
        </w:tc>
        <w:tc>
          <w:tcPr>
            <w:tcW w:w="1298" w:type="dxa"/>
            <w:noWrap/>
            <w:vAlign w:val="bottom"/>
            <w:hideMark/>
          </w:tcPr>
          <w:p w14:paraId="39E594F2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519.51</w:t>
            </w:r>
          </w:p>
        </w:tc>
        <w:tc>
          <w:tcPr>
            <w:tcW w:w="980" w:type="dxa"/>
            <w:noWrap/>
            <w:vAlign w:val="bottom"/>
            <w:hideMark/>
          </w:tcPr>
          <w:p w14:paraId="378FECD8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86.59%</w:t>
            </w:r>
          </w:p>
        </w:tc>
      </w:tr>
      <w:tr w:rsidR="00F632AA" w:rsidRPr="00ED1580" w14:paraId="36D070E2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242C823B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5A8CCA61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4221</w:t>
            </w:r>
          </w:p>
        </w:tc>
        <w:tc>
          <w:tcPr>
            <w:tcW w:w="3933" w:type="dxa"/>
            <w:noWrap/>
            <w:vAlign w:val="bottom"/>
            <w:hideMark/>
          </w:tcPr>
          <w:p w14:paraId="663CC6E0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Uredska oprema i namještaj</w:t>
            </w:r>
          </w:p>
        </w:tc>
        <w:tc>
          <w:tcPr>
            <w:tcW w:w="1298" w:type="dxa"/>
            <w:noWrap/>
            <w:vAlign w:val="bottom"/>
            <w:hideMark/>
          </w:tcPr>
          <w:p w14:paraId="44A65ED5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  <w:hideMark/>
          </w:tcPr>
          <w:p w14:paraId="3D90FAF4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25.39</w:t>
            </w:r>
          </w:p>
        </w:tc>
        <w:tc>
          <w:tcPr>
            <w:tcW w:w="980" w:type="dxa"/>
            <w:noWrap/>
            <w:vAlign w:val="bottom"/>
            <w:hideMark/>
          </w:tcPr>
          <w:p w14:paraId="7DF839DB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399699C0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75875E5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653B6AC6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4227</w:t>
            </w:r>
          </w:p>
        </w:tc>
        <w:tc>
          <w:tcPr>
            <w:tcW w:w="3933" w:type="dxa"/>
            <w:noWrap/>
            <w:vAlign w:val="bottom"/>
            <w:hideMark/>
          </w:tcPr>
          <w:p w14:paraId="337C243E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Uređaji, strojevi i oprema za ostale namjene</w:t>
            </w:r>
          </w:p>
        </w:tc>
        <w:tc>
          <w:tcPr>
            <w:tcW w:w="1298" w:type="dxa"/>
            <w:noWrap/>
            <w:vAlign w:val="bottom"/>
            <w:hideMark/>
          </w:tcPr>
          <w:p w14:paraId="3C873118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noWrap/>
            <w:vAlign w:val="bottom"/>
            <w:hideMark/>
          </w:tcPr>
          <w:p w14:paraId="29734601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494.12</w:t>
            </w:r>
          </w:p>
        </w:tc>
        <w:tc>
          <w:tcPr>
            <w:tcW w:w="980" w:type="dxa"/>
            <w:noWrap/>
            <w:vAlign w:val="bottom"/>
            <w:hideMark/>
          </w:tcPr>
          <w:p w14:paraId="46515780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632AA" w:rsidRPr="00ED1580" w14:paraId="561297F8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619522D4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3166152E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5. POMOĆI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34474A5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1,943.00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2DFBFA7F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2,606.61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36C59C86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134.15%</w:t>
            </w:r>
          </w:p>
        </w:tc>
      </w:tr>
      <w:tr w:rsidR="00F632AA" w:rsidRPr="00ED1580" w14:paraId="1B87A9FC" w14:textId="77777777" w:rsidTr="008B0D10">
        <w:trPr>
          <w:trHeight w:val="63"/>
        </w:trPr>
        <w:tc>
          <w:tcPr>
            <w:tcW w:w="644" w:type="dxa"/>
            <w:shd w:val="clear" w:color="000000" w:fill="CCCCFF"/>
            <w:noWrap/>
            <w:vAlign w:val="bottom"/>
            <w:hideMark/>
          </w:tcPr>
          <w:p w14:paraId="225CF663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47" w:type="dxa"/>
            <w:gridSpan w:val="2"/>
            <w:shd w:val="clear" w:color="000000" w:fill="CCCCFF"/>
            <w:noWrap/>
            <w:vAlign w:val="bottom"/>
            <w:hideMark/>
          </w:tcPr>
          <w:p w14:paraId="63650004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5.4.3 KAPIT.POMOĆI PK IZ PRORAČ. JLP(r)S KOJI IM NIJE NADL.-VLAŠKI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34BE814E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1,943.00</w:t>
            </w:r>
          </w:p>
        </w:tc>
        <w:tc>
          <w:tcPr>
            <w:tcW w:w="1298" w:type="dxa"/>
            <w:shd w:val="clear" w:color="000000" w:fill="CCCCFF"/>
            <w:noWrap/>
            <w:vAlign w:val="bottom"/>
            <w:hideMark/>
          </w:tcPr>
          <w:p w14:paraId="0B735DBD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2,606.61</w:t>
            </w:r>
          </w:p>
        </w:tc>
        <w:tc>
          <w:tcPr>
            <w:tcW w:w="980" w:type="dxa"/>
            <w:shd w:val="clear" w:color="000000" w:fill="CCCCFF"/>
            <w:noWrap/>
            <w:vAlign w:val="bottom"/>
            <w:hideMark/>
          </w:tcPr>
          <w:p w14:paraId="63DFCB50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134.15%</w:t>
            </w:r>
          </w:p>
        </w:tc>
      </w:tr>
      <w:tr w:rsidR="00F632AA" w:rsidRPr="00ED1580" w14:paraId="7A40897C" w14:textId="77777777" w:rsidTr="008B0D10">
        <w:trPr>
          <w:trHeight w:val="63"/>
        </w:trPr>
        <w:tc>
          <w:tcPr>
            <w:tcW w:w="644" w:type="dxa"/>
            <w:noWrap/>
            <w:vAlign w:val="bottom"/>
            <w:hideMark/>
          </w:tcPr>
          <w:p w14:paraId="3E90EDEE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noWrap/>
            <w:vAlign w:val="bottom"/>
            <w:hideMark/>
          </w:tcPr>
          <w:p w14:paraId="5904A4F1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3933" w:type="dxa"/>
            <w:noWrap/>
            <w:vAlign w:val="bottom"/>
            <w:hideMark/>
          </w:tcPr>
          <w:p w14:paraId="22389775" w14:textId="77777777" w:rsidR="00F632AA" w:rsidRPr="00ED1580" w:rsidRDefault="00F632AA" w:rsidP="007E6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Rashodi za nabavu proizvedene dugotrajne imovine</w:t>
            </w:r>
          </w:p>
        </w:tc>
        <w:tc>
          <w:tcPr>
            <w:tcW w:w="1298" w:type="dxa"/>
            <w:noWrap/>
            <w:vAlign w:val="bottom"/>
            <w:hideMark/>
          </w:tcPr>
          <w:p w14:paraId="7017182D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1,943.00</w:t>
            </w:r>
          </w:p>
        </w:tc>
        <w:tc>
          <w:tcPr>
            <w:tcW w:w="1298" w:type="dxa"/>
            <w:noWrap/>
            <w:vAlign w:val="bottom"/>
            <w:hideMark/>
          </w:tcPr>
          <w:p w14:paraId="41076AC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2,606.61</w:t>
            </w:r>
          </w:p>
        </w:tc>
        <w:tc>
          <w:tcPr>
            <w:tcW w:w="980" w:type="dxa"/>
            <w:noWrap/>
            <w:vAlign w:val="bottom"/>
            <w:hideMark/>
          </w:tcPr>
          <w:p w14:paraId="54988559" w14:textId="77777777" w:rsidR="00F632AA" w:rsidRPr="00ED1580" w:rsidRDefault="00F632AA" w:rsidP="007E6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D1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134.15%</w:t>
            </w:r>
          </w:p>
        </w:tc>
      </w:tr>
    </w:tbl>
    <w:p w14:paraId="0FE7BCC0" w14:textId="6C82DD48" w:rsidR="00C027BE" w:rsidRDefault="00C027BE" w:rsidP="00537D06">
      <w:pPr>
        <w:pStyle w:val="Bezproreda"/>
        <w:shd w:val="clear" w:color="auto" w:fill="FFFFFF" w:themeFill="background1"/>
        <w:jc w:val="left"/>
      </w:pPr>
    </w:p>
    <w:p w14:paraId="5A6E1DB6" w14:textId="4D76BAA4" w:rsidR="00C027BE" w:rsidRDefault="00C027BE" w:rsidP="00E27010">
      <w:pPr>
        <w:pStyle w:val="Bezproreda"/>
        <w:shd w:val="clear" w:color="auto" w:fill="FFFFFF" w:themeFill="background1"/>
        <w:jc w:val="left"/>
        <w:rPr>
          <w:b/>
          <w:bCs/>
          <w:szCs w:val="24"/>
        </w:rPr>
      </w:pPr>
    </w:p>
    <w:p w14:paraId="490CDDC8" w14:textId="77777777" w:rsidR="008B0D10" w:rsidRDefault="008B0D10" w:rsidP="00E27010">
      <w:pPr>
        <w:pStyle w:val="Bezproreda"/>
        <w:shd w:val="clear" w:color="auto" w:fill="FFFFFF" w:themeFill="background1"/>
        <w:jc w:val="left"/>
        <w:rPr>
          <w:b/>
          <w:bCs/>
          <w:szCs w:val="24"/>
        </w:rPr>
      </w:pPr>
    </w:p>
    <w:p w14:paraId="13C335CD" w14:textId="77777777" w:rsidR="008B0D10" w:rsidRDefault="008B0D10" w:rsidP="00E27010">
      <w:pPr>
        <w:pStyle w:val="Bezproreda"/>
        <w:shd w:val="clear" w:color="auto" w:fill="FFFFFF" w:themeFill="background1"/>
        <w:jc w:val="left"/>
        <w:rPr>
          <w:b/>
          <w:bCs/>
          <w:szCs w:val="24"/>
        </w:rPr>
      </w:pPr>
    </w:p>
    <w:p w14:paraId="1A610AE4" w14:textId="77777777" w:rsidR="008B0D10" w:rsidRDefault="008B0D10" w:rsidP="00E27010">
      <w:pPr>
        <w:pStyle w:val="Bezproreda"/>
        <w:shd w:val="clear" w:color="auto" w:fill="FFFFFF" w:themeFill="background1"/>
        <w:jc w:val="left"/>
        <w:rPr>
          <w:b/>
          <w:bCs/>
          <w:szCs w:val="24"/>
        </w:rPr>
      </w:pPr>
    </w:p>
    <w:p w14:paraId="417218D3" w14:textId="77777777" w:rsidR="008B0D10" w:rsidRDefault="008B0D10" w:rsidP="00E27010">
      <w:pPr>
        <w:pStyle w:val="Bezproreda"/>
        <w:shd w:val="clear" w:color="auto" w:fill="FFFFFF" w:themeFill="background1"/>
        <w:jc w:val="left"/>
        <w:rPr>
          <w:b/>
          <w:bCs/>
          <w:szCs w:val="24"/>
        </w:rPr>
      </w:pPr>
    </w:p>
    <w:p w14:paraId="1C77EB86" w14:textId="77777777" w:rsidR="008B0D10" w:rsidRDefault="008B0D10" w:rsidP="00E27010">
      <w:pPr>
        <w:pStyle w:val="Bezproreda"/>
        <w:shd w:val="clear" w:color="auto" w:fill="FFFFFF" w:themeFill="background1"/>
        <w:jc w:val="left"/>
        <w:rPr>
          <w:b/>
          <w:bCs/>
          <w:szCs w:val="24"/>
        </w:rPr>
      </w:pPr>
    </w:p>
    <w:p w14:paraId="0BFB9394" w14:textId="77777777" w:rsidR="008B0D10" w:rsidRDefault="008B0D10" w:rsidP="00E27010">
      <w:pPr>
        <w:pStyle w:val="Bezproreda"/>
        <w:shd w:val="clear" w:color="auto" w:fill="FFFFFF" w:themeFill="background1"/>
        <w:jc w:val="left"/>
        <w:rPr>
          <w:b/>
          <w:bCs/>
          <w:szCs w:val="24"/>
        </w:rPr>
      </w:pPr>
    </w:p>
    <w:p w14:paraId="7332BB58" w14:textId="77777777" w:rsidR="008B0D10" w:rsidRDefault="008B0D10" w:rsidP="00E27010">
      <w:pPr>
        <w:pStyle w:val="Bezproreda"/>
        <w:shd w:val="clear" w:color="auto" w:fill="FFFFFF" w:themeFill="background1"/>
        <w:jc w:val="left"/>
        <w:rPr>
          <w:b/>
          <w:bCs/>
          <w:szCs w:val="24"/>
        </w:rPr>
      </w:pPr>
    </w:p>
    <w:p w14:paraId="3E1A00AB" w14:textId="77777777" w:rsidR="008B0D10" w:rsidRDefault="008B0D10" w:rsidP="00E27010">
      <w:pPr>
        <w:pStyle w:val="Bezproreda"/>
        <w:shd w:val="clear" w:color="auto" w:fill="FFFFFF" w:themeFill="background1"/>
        <w:jc w:val="left"/>
        <w:rPr>
          <w:b/>
          <w:bCs/>
          <w:szCs w:val="24"/>
        </w:rPr>
      </w:pPr>
    </w:p>
    <w:p w14:paraId="1F4449CE" w14:textId="77777777" w:rsidR="008B0D10" w:rsidRDefault="008B0D10" w:rsidP="00E27010">
      <w:pPr>
        <w:pStyle w:val="Bezproreda"/>
        <w:shd w:val="clear" w:color="auto" w:fill="FFFFFF" w:themeFill="background1"/>
        <w:jc w:val="left"/>
        <w:rPr>
          <w:b/>
          <w:bCs/>
          <w:szCs w:val="24"/>
        </w:rPr>
      </w:pPr>
    </w:p>
    <w:p w14:paraId="61265232" w14:textId="77777777" w:rsidR="008B0D10" w:rsidRDefault="008B0D10" w:rsidP="00E27010">
      <w:pPr>
        <w:pStyle w:val="Bezproreda"/>
        <w:shd w:val="clear" w:color="auto" w:fill="FFFFFF" w:themeFill="background1"/>
        <w:jc w:val="left"/>
        <w:rPr>
          <w:b/>
          <w:bCs/>
          <w:szCs w:val="24"/>
        </w:rPr>
      </w:pPr>
    </w:p>
    <w:p w14:paraId="38A53511" w14:textId="77777777" w:rsidR="008B0D10" w:rsidRDefault="008B0D10" w:rsidP="00E27010">
      <w:pPr>
        <w:pStyle w:val="Bezproreda"/>
        <w:shd w:val="clear" w:color="auto" w:fill="FFFFFF" w:themeFill="background1"/>
        <w:jc w:val="left"/>
        <w:rPr>
          <w:b/>
          <w:bCs/>
          <w:szCs w:val="24"/>
        </w:rPr>
      </w:pPr>
    </w:p>
    <w:p w14:paraId="3533DB0A" w14:textId="77777777" w:rsidR="008B0D10" w:rsidRDefault="008B0D10" w:rsidP="00E27010">
      <w:pPr>
        <w:pStyle w:val="Bezproreda"/>
        <w:shd w:val="clear" w:color="auto" w:fill="FFFFFF" w:themeFill="background1"/>
        <w:jc w:val="left"/>
        <w:rPr>
          <w:b/>
          <w:bCs/>
          <w:szCs w:val="24"/>
        </w:rPr>
      </w:pPr>
    </w:p>
    <w:p w14:paraId="0458B6FA" w14:textId="77777777" w:rsidR="008B0D10" w:rsidRDefault="008B0D10" w:rsidP="00E27010">
      <w:pPr>
        <w:pStyle w:val="Bezproreda"/>
        <w:shd w:val="clear" w:color="auto" w:fill="FFFFFF" w:themeFill="background1"/>
        <w:jc w:val="left"/>
        <w:rPr>
          <w:b/>
          <w:bCs/>
          <w:szCs w:val="24"/>
        </w:rPr>
      </w:pPr>
    </w:p>
    <w:p w14:paraId="21449544" w14:textId="77777777" w:rsidR="008B0D10" w:rsidRDefault="008B0D10" w:rsidP="00E27010">
      <w:pPr>
        <w:pStyle w:val="Bezproreda"/>
        <w:shd w:val="clear" w:color="auto" w:fill="FFFFFF" w:themeFill="background1"/>
        <w:jc w:val="left"/>
        <w:rPr>
          <w:b/>
          <w:bCs/>
          <w:szCs w:val="24"/>
        </w:rPr>
      </w:pPr>
    </w:p>
    <w:p w14:paraId="2049FE72" w14:textId="77777777" w:rsidR="009D2C14" w:rsidRDefault="009D2C14" w:rsidP="00E27010">
      <w:pPr>
        <w:pStyle w:val="Bezproreda"/>
        <w:shd w:val="clear" w:color="auto" w:fill="FFFFFF" w:themeFill="background1"/>
        <w:jc w:val="left"/>
        <w:rPr>
          <w:b/>
          <w:bCs/>
          <w:szCs w:val="24"/>
        </w:rPr>
      </w:pPr>
    </w:p>
    <w:p w14:paraId="45F971A8" w14:textId="77777777" w:rsidR="008B0D10" w:rsidRPr="00E27010" w:rsidRDefault="008B0D10" w:rsidP="00E27010">
      <w:pPr>
        <w:pStyle w:val="Bezproreda"/>
        <w:shd w:val="clear" w:color="auto" w:fill="FFFFFF" w:themeFill="background1"/>
        <w:jc w:val="left"/>
        <w:rPr>
          <w:b/>
          <w:bCs/>
          <w:szCs w:val="24"/>
        </w:rPr>
      </w:pPr>
    </w:p>
    <w:p w14:paraId="77F4AD2F" w14:textId="79DE6191" w:rsidR="00E27010" w:rsidRPr="00E27010" w:rsidRDefault="00E27010" w:rsidP="00E27010">
      <w:pPr>
        <w:spacing w:line="259" w:lineRule="auto"/>
        <w:ind w:left="360"/>
        <w:jc w:val="both"/>
        <w:rPr>
          <w:rFonts w:ascii="Arial" w:hAnsi="Arial" w:cs="Arial"/>
          <w:b/>
          <w:bCs/>
          <w:szCs w:val="24"/>
        </w:rPr>
      </w:pPr>
      <w:r w:rsidRPr="00E27010">
        <w:rPr>
          <w:rFonts w:ascii="Arial" w:hAnsi="Arial" w:cs="Arial"/>
          <w:b/>
          <w:bCs/>
          <w:szCs w:val="24"/>
        </w:rPr>
        <w:t>3.</w:t>
      </w:r>
      <w:r w:rsidRPr="0005210A">
        <w:rPr>
          <w:rFonts w:ascii="Arial" w:hAnsi="Arial" w:cs="Arial"/>
          <w:b/>
          <w:bCs/>
          <w:szCs w:val="24"/>
        </w:rPr>
        <w:t>OBRAZLOŽENJE GODIŠNJEG IZVJEŠTAJA O IZVRŠENJU FINANCIJSKOG PLANA</w:t>
      </w:r>
      <w:r w:rsidR="0005210A" w:rsidRPr="0005210A">
        <w:rPr>
          <w:rFonts w:ascii="Arial" w:hAnsi="Arial" w:cs="Arial"/>
          <w:b/>
        </w:rPr>
        <w:t xml:space="preserve"> </w:t>
      </w:r>
    </w:p>
    <w:p w14:paraId="00A4CA81" w14:textId="77777777" w:rsidR="00E27010" w:rsidRPr="0005210A" w:rsidRDefault="00E27010" w:rsidP="00E27010">
      <w:pPr>
        <w:jc w:val="both"/>
        <w:rPr>
          <w:rFonts w:ascii="Arial" w:hAnsi="Arial" w:cs="Arial"/>
          <w:b/>
          <w:bCs/>
          <w:szCs w:val="24"/>
        </w:rPr>
      </w:pPr>
    </w:p>
    <w:p w14:paraId="4CF97607" w14:textId="7964CDCE" w:rsidR="00E27010" w:rsidRDefault="00E27010" w:rsidP="0005210A">
      <w:pPr>
        <w:pStyle w:val="Odlomakpopisa"/>
        <w:numPr>
          <w:ilvl w:val="1"/>
          <w:numId w:val="17"/>
        </w:numPr>
        <w:spacing w:line="259" w:lineRule="auto"/>
        <w:jc w:val="both"/>
        <w:rPr>
          <w:rFonts w:ascii="Arial" w:hAnsi="Arial" w:cs="Arial"/>
          <w:b/>
          <w:bCs/>
          <w:szCs w:val="24"/>
        </w:rPr>
      </w:pPr>
      <w:r w:rsidRPr="0005210A">
        <w:rPr>
          <w:rFonts w:ascii="Arial" w:hAnsi="Arial" w:cs="Arial"/>
          <w:b/>
          <w:bCs/>
          <w:szCs w:val="24"/>
        </w:rPr>
        <w:t>Obrazloženje općeg djela financijskog plana</w:t>
      </w:r>
    </w:p>
    <w:p w14:paraId="1931C91B" w14:textId="77777777" w:rsidR="00E27010" w:rsidRPr="00237D28" w:rsidRDefault="00E27010" w:rsidP="00E2701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5FCD898" w14:textId="77777777" w:rsidR="00E27010" w:rsidRPr="008B0D10" w:rsidRDefault="00E27010" w:rsidP="00E27010">
      <w:pPr>
        <w:pStyle w:val="Odlomakpopisa"/>
        <w:ind w:left="360"/>
        <w:rPr>
          <w:rFonts w:ascii="Arial" w:hAnsi="Arial" w:cs="Arial"/>
          <w:bCs/>
          <w:sz w:val="20"/>
          <w:szCs w:val="20"/>
        </w:rPr>
      </w:pPr>
      <w:r w:rsidRPr="008B0D10">
        <w:rPr>
          <w:rFonts w:ascii="Arial" w:hAnsi="Arial" w:cs="Arial"/>
          <w:bCs/>
          <w:sz w:val="20"/>
          <w:szCs w:val="20"/>
        </w:rPr>
        <w:t>SAŽETAK RAČUNA PRIHODA I RASHODA I RAČUNA FINANCIRANJA</w:t>
      </w:r>
    </w:p>
    <w:p w14:paraId="700DF324" w14:textId="77777777" w:rsidR="00E27010" w:rsidRPr="008B0D10" w:rsidRDefault="00E27010" w:rsidP="00E27010">
      <w:pPr>
        <w:pStyle w:val="Odlomakpopisa"/>
        <w:ind w:left="360"/>
        <w:rPr>
          <w:rFonts w:ascii="Arial" w:hAnsi="Arial" w:cs="Arial"/>
          <w:bCs/>
          <w:sz w:val="20"/>
          <w:szCs w:val="20"/>
        </w:rPr>
      </w:pPr>
    </w:p>
    <w:tbl>
      <w:tblPr>
        <w:tblW w:w="8216" w:type="dxa"/>
        <w:tblInd w:w="428" w:type="dxa"/>
        <w:tblLook w:val="04A0" w:firstRow="1" w:lastRow="0" w:firstColumn="1" w:lastColumn="0" w:noHBand="0" w:noVBand="1"/>
      </w:tblPr>
      <w:tblGrid>
        <w:gridCol w:w="5640"/>
        <w:gridCol w:w="2576"/>
      </w:tblGrid>
      <w:tr w:rsidR="00E27010" w:rsidRPr="008B0D10" w14:paraId="608DEA4B" w14:textId="77777777" w:rsidTr="00E27010">
        <w:trPr>
          <w:trHeight w:val="401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35A78F" w14:textId="1CD01B12" w:rsidR="00E27010" w:rsidRPr="008B0D10" w:rsidRDefault="00E27010" w:rsidP="00EC43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D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OSTVARENO 202</w:t>
            </w:r>
            <w:r w:rsidR="003C01B2" w:rsidRPr="008B0D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  <w:r w:rsidRPr="008B0D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GODINE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9FFFA" w14:textId="5C32123F" w:rsidR="00E27010" w:rsidRPr="008B0D10" w:rsidRDefault="00E27010" w:rsidP="00EC43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D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IZNOS u eurima</w:t>
            </w:r>
          </w:p>
        </w:tc>
      </w:tr>
      <w:tr w:rsidR="00E27010" w:rsidRPr="008B0D10" w14:paraId="4356DC8E" w14:textId="77777777" w:rsidTr="00E27010">
        <w:trPr>
          <w:trHeight w:val="401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621C3C" w14:textId="77777777" w:rsidR="00E27010" w:rsidRPr="008B0D10" w:rsidRDefault="00E27010" w:rsidP="00EC43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0D1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1ED3C" w14:textId="30E9604A" w:rsidR="00E27010" w:rsidRPr="008B0D10" w:rsidRDefault="00F5579A" w:rsidP="00EC43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0D1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     </w:t>
            </w:r>
            <w:r w:rsidR="0062602D" w:rsidRPr="008B0D1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62.643,74</w:t>
            </w:r>
          </w:p>
        </w:tc>
      </w:tr>
      <w:tr w:rsidR="00E27010" w:rsidRPr="008B0D10" w14:paraId="19545085" w14:textId="77777777" w:rsidTr="00E27010">
        <w:trPr>
          <w:trHeight w:val="401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58118B" w14:textId="77777777" w:rsidR="00E27010" w:rsidRPr="008B0D10" w:rsidRDefault="00E27010" w:rsidP="00EC43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0D1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5F928" w14:textId="68D208C6" w:rsidR="00E27010" w:rsidRPr="008B0D10" w:rsidRDefault="0062602D" w:rsidP="00EC43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0D1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67.182,11</w:t>
            </w:r>
          </w:p>
        </w:tc>
      </w:tr>
      <w:tr w:rsidR="00E27010" w:rsidRPr="008B0D10" w14:paraId="75171EF8" w14:textId="77777777" w:rsidTr="00E27010">
        <w:trPr>
          <w:trHeight w:val="401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A1C1C0" w14:textId="77777777" w:rsidR="00E27010" w:rsidRPr="008B0D10" w:rsidRDefault="00E27010" w:rsidP="00EC43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0D1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MANJAK PRIHODA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2CEE0" w14:textId="10EEBE16" w:rsidR="00E27010" w:rsidRPr="008B0D10" w:rsidRDefault="00C322E2" w:rsidP="00EC43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hr-HR"/>
              </w:rPr>
            </w:pPr>
            <w:r w:rsidRPr="008B0D10">
              <w:rPr>
                <w:rFonts w:ascii="Arial" w:eastAsia="Times New Roman" w:hAnsi="Arial" w:cs="Arial"/>
                <w:sz w:val="22"/>
                <w:lang w:eastAsia="hr-HR"/>
              </w:rPr>
              <w:t>-4.538,37</w:t>
            </w:r>
          </w:p>
        </w:tc>
      </w:tr>
      <w:tr w:rsidR="00E27010" w:rsidRPr="008B0D10" w14:paraId="3BB12CE2" w14:textId="77777777" w:rsidTr="00E27010">
        <w:trPr>
          <w:trHeight w:val="401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0C07C2" w14:textId="6F4E0FA9" w:rsidR="00E27010" w:rsidRPr="008B0D10" w:rsidRDefault="00E27010" w:rsidP="00EC43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0D1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PRENESENI VIŠAK IZ 202</w:t>
            </w:r>
            <w:r w:rsidR="000D700D" w:rsidRPr="008B0D1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Pr="008B0D1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GODINE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25419" w14:textId="596EC9AA" w:rsidR="00E27010" w:rsidRPr="008B0D10" w:rsidRDefault="006D4EAC" w:rsidP="00EC43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hr-HR"/>
              </w:rPr>
            </w:pPr>
            <w:r w:rsidRPr="008B0D10">
              <w:rPr>
                <w:rFonts w:ascii="Arial" w:eastAsia="Times New Roman" w:hAnsi="Arial" w:cs="Arial"/>
                <w:sz w:val="22"/>
                <w:lang w:eastAsia="hr-HR"/>
              </w:rPr>
              <w:t>2.596,40</w:t>
            </w:r>
          </w:p>
        </w:tc>
      </w:tr>
      <w:tr w:rsidR="00E27010" w:rsidRPr="00F57F88" w14:paraId="043DE767" w14:textId="77777777" w:rsidTr="00E27010">
        <w:trPr>
          <w:trHeight w:val="401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139FDD" w14:textId="399D35FF" w:rsidR="00E27010" w:rsidRPr="008B0D10" w:rsidRDefault="006D4EAC" w:rsidP="00EC43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0D1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PRIJENOS MANJKA U SLJEDEĆE RAZDOBLJE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EFBE2" w14:textId="77777777" w:rsidR="00E27010" w:rsidRPr="008B0D10" w:rsidRDefault="006D4EAC" w:rsidP="00EC43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hr-HR"/>
              </w:rPr>
            </w:pPr>
            <w:r w:rsidRPr="008B0D10">
              <w:rPr>
                <w:rFonts w:ascii="Arial" w:eastAsia="Times New Roman" w:hAnsi="Arial" w:cs="Arial"/>
                <w:sz w:val="22"/>
                <w:lang w:eastAsia="hr-HR"/>
              </w:rPr>
              <w:t>-1.941,97</w:t>
            </w:r>
          </w:p>
          <w:p w14:paraId="66E898E1" w14:textId="27902A23" w:rsidR="006D4EAC" w:rsidRPr="008B0D10" w:rsidRDefault="006D4EAC" w:rsidP="00EC43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hr-HR"/>
              </w:rPr>
            </w:pPr>
          </w:p>
        </w:tc>
      </w:tr>
    </w:tbl>
    <w:p w14:paraId="5EE2F227" w14:textId="4370B46F" w:rsidR="00C027BE" w:rsidRPr="00F57F88" w:rsidRDefault="00C027BE" w:rsidP="008F2C14">
      <w:pPr>
        <w:pStyle w:val="Bezproreda"/>
        <w:shd w:val="clear" w:color="auto" w:fill="FFFFFF" w:themeFill="background1"/>
        <w:ind w:left="720"/>
        <w:jc w:val="left"/>
        <w:rPr>
          <w:highlight w:val="yellow"/>
        </w:rPr>
      </w:pPr>
    </w:p>
    <w:p w14:paraId="55C6E03D" w14:textId="49955CCD" w:rsidR="00C027BE" w:rsidRPr="00F57F88" w:rsidRDefault="00C027BE" w:rsidP="008F2C14">
      <w:pPr>
        <w:pStyle w:val="Bezproreda"/>
        <w:shd w:val="clear" w:color="auto" w:fill="FFFFFF" w:themeFill="background1"/>
        <w:ind w:left="720"/>
        <w:jc w:val="left"/>
        <w:rPr>
          <w:highlight w:val="yellow"/>
        </w:rPr>
      </w:pPr>
    </w:p>
    <w:p w14:paraId="551137D3" w14:textId="77777777" w:rsidR="00E152A3" w:rsidRPr="00645F37" w:rsidRDefault="00E152A3" w:rsidP="00645F37">
      <w:pPr>
        <w:spacing w:line="259" w:lineRule="auto"/>
        <w:jc w:val="both"/>
        <w:rPr>
          <w:rFonts w:ascii="Arial" w:hAnsi="Arial" w:cs="Arial"/>
          <w:sz w:val="22"/>
        </w:rPr>
      </w:pPr>
      <w:r w:rsidRPr="00645F37">
        <w:rPr>
          <w:rFonts w:ascii="Arial" w:hAnsi="Arial" w:cs="Arial"/>
          <w:sz w:val="22"/>
        </w:rPr>
        <w:t>Opći dio financijskog plana obuhvaća ukupne prihode i primitke te rashode i izdatke proračunskog korisnika, kao i rezultat poslovanja za izvještajno razdoblje.</w:t>
      </w:r>
    </w:p>
    <w:p w14:paraId="10977777" w14:textId="77777777" w:rsidR="00E152A3" w:rsidRPr="00645F37" w:rsidRDefault="00E152A3" w:rsidP="00645F37">
      <w:pPr>
        <w:spacing w:line="259" w:lineRule="auto"/>
        <w:jc w:val="both"/>
        <w:rPr>
          <w:rFonts w:ascii="Arial" w:hAnsi="Arial" w:cs="Arial"/>
          <w:sz w:val="22"/>
        </w:rPr>
      </w:pPr>
      <w:r w:rsidRPr="00645F37">
        <w:rPr>
          <w:rFonts w:ascii="Arial" w:hAnsi="Arial" w:cs="Arial"/>
          <w:sz w:val="22"/>
        </w:rPr>
        <w:t xml:space="preserve">U 2025. godini ostvareni su </w:t>
      </w:r>
      <w:r w:rsidRPr="00645F37">
        <w:rPr>
          <w:rFonts w:ascii="Arial" w:hAnsi="Arial" w:cs="Arial"/>
          <w:b/>
          <w:bCs/>
          <w:sz w:val="22"/>
        </w:rPr>
        <w:t>ukupni prihodi poslovanja u iznosu od 62.643,74 eura</w:t>
      </w:r>
      <w:r w:rsidRPr="00645F37">
        <w:rPr>
          <w:rFonts w:ascii="Arial" w:hAnsi="Arial" w:cs="Arial"/>
          <w:sz w:val="22"/>
        </w:rPr>
        <w:t>, što predstavlja povećanje od 4,0% u odnosu na prethodnu godinu. Povećanje prihoda najvećim dijelom rezultat je većih prihoda od pomoći iz državnog proračuna i proračuna jedinica područne (regionalne) samouprave, namijenjenih financiranju programskih aktivnosti i rada ustanove, kao i povećanja sredstava za financiranje rashoda za zaposlene.</w:t>
      </w:r>
    </w:p>
    <w:p w14:paraId="1DCED398" w14:textId="77777777" w:rsidR="00E152A3" w:rsidRPr="00645F37" w:rsidRDefault="00E152A3" w:rsidP="00645F37">
      <w:pPr>
        <w:spacing w:line="259" w:lineRule="auto"/>
        <w:jc w:val="both"/>
        <w:rPr>
          <w:rFonts w:ascii="Arial" w:hAnsi="Arial" w:cs="Arial"/>
          <w:sz w:val="22"/>
        </w:rPr>
      </w:pPr>
      <w:r w:rsidRPr="00645F37">
        <w:rPr>
          <w:rFonts w:ascii="Arial" w:hAnsi="Arial" w:cs="Arial"/>
          <w:sz w:val="22"/>
        </w:rPr>
        <w:t xml:space="preserve">Ukupni rashodi ostvareni su u iznosu od </w:t>
      </w:r>
      <w:r w:rsidRPr="00645F37">
        <w:rPr>
          <w:rFonts w:ascii="Arial" w:hAnsi="Arial" w:cs="Arial"/>
          <w:b/>
          <w:bCs/>
          <w:sz w:val="22"/>
        </w:rPr>
        <w:t>67.182,11 eura</w:t>
      </w:r>
      <w:r w:rsidRPr="00645F37">
        <w:rPr>
          <w:rFonts w:ascii="Arial" w:hAnsi="Arial" w:cs="Arial"/>
          <w:sz w:val="22"/>
        </w:rPr>
        <w:t xml:space="preserve">, od čega se </w:t>
      </w:r>
      <w:r w:rsidRPr="00645F37">
        <w:rPr>
          <w:rFonts w:ascii="Arial" w:hAnsi="Arial" w:cs="Arial"/>
          <w:b/>
          <w:bCs/>
          <w:sz w:val="22"/>
        </w:rPr>
        <w:t>64.055,99 eura</w:t>
      </w:r>
      <w:r w:rsidRPr="00645F37">
        <w:rPr>
          <w:rFonts w:ascii="Arial" w:hAnsi="Arial" w:cs="Arial"/>
          <w:sz w:val="22"/>
        </w:rPr>
        <w:t xml:space="preserve"> odnosi na rashode poslovanja, a </w:t>
      </w:r>
      <w:r w:rsidRPr="00645F37">
        <w:rPr>
          <w:rFonts w:ascii="Arial" w:hAnsi="Arial" w:cs="Arial"/>
          <w:b/>
          <w:bCs/>
          <w:sz w:val="22"/>
        </w:rPr>
        <w:t>3.126,12 eura</w:t>
      </w:r>
      <w:r w:rsidRPr="00645F37">
        <w:rPr>
          <w:rFonts w:ascii="Arial" w:hAnsi="Arial" w:cs="Arial"/>
          <w:sz w:val="22"/>
        </w:rPr>
        <w:t xml:space="preserve"> na rashode za nabavu nefinancijske imovine. U odnosu na prethodnu godinu, rashodi su povećani ponajprije zbog rasta rashoda za zaposlene uslijed usklađenja osnovice za obračun plaća te povećanih materijalnih rashoda.</w:t>
      </w:r>
    </w:p>
    <w:p w14:paraId="22982D03" w14:textId="60386F75" w:rsidR="00E152A3" w:rsidRPr="00645F37" w:rsidRDefault="00E152A3" w:rsidP="00645F37">
      <w:pPr>
        <w:spacing w:line="259" w:lineRule="auto"/>
        <w:jc w:val="both"/>
        <w:rPr>
          <w:rFonts w:ascii="Arial" w:hAnsi="Arial" w:cs="Arial"/>
          <w:sz w:val="22"/>
        </w:rPr>
      </w:pPr>
      <w:r w:rsidRPr="00645F37">
        <w:rPr>
          <w:rFonts w:ascii="Arial" w:hAnsi="Arial" w:cs="Arial"/>
          <w:sz w:val="22"/>
        </w:rPr>
        <w:t xml:space="preserve">U izvještajnom razdoblju ostvaren je </w:t>
      </w:r>
      <w:r w:rsidRPr="00645F37">
        <w:rPr>
          <w:rFonts w:ascii="Arial" w:hAnsi="Arial" w:cs="Arial"/>
          <w:b/>
          <w:bCs/>
          <w:sz w:val="22"/>
        </w:rPr>
        <w:t xml:space="preserve">manjak prihoda u iznosu od </w:t>
      </w:r>
      <w:r w:rsidR="004706AA" w:rsidRPr="00645F37">
        <w:rPr>
          <w:rFonts w:ascii="Arial" w:hAnsi="Arial" w:cs="Arial"/>
          <w:b/>
          <w:bCs/>
          <w:sz w:val="22"/>
        </w:rPr>
        <w:t>4.538,37</w:t>
      </w:r>
      <w:r w:rsidRPr="00645F37">
        <w:rPr>
          <w:rFonts w:ascii="Arial" w:hAnsi="Arial" w:cs="Arial"/>
          <w:b/>
          <w:bCs/>
          <w:sz w:val="22"/>
        </w:rPr>
        <w:t xml:space="preserve"> eura</w:t>
      </w:r>
      <w:r w:rsidRPr="00645F37">
        <w:rPr>
          <w:rFonts w:ascii="Arial" w:hAnsi="Arial" w:cs="Arial"/>
          <w:sz w:val="22"/>
        </w:rPr>
        <w:t xml:space="preserve">. Navedeni manjak rezultat je vremenskog nepodudaranja priznavanja prihoda i rashoda, odnosno činjenice da su rashodi za prosinac 2025. godine evidentirani u </w:t>
      </w:r>
      <w:r w:rsidR="00B6252E" w:rsidRPr="00645F37">
        <w:rPr>
          <w:rFonts w:ascii="Arial" w:hAnsi="Arial" w:cs="Arial"/>
          <w:sz w:val="22"/>
        </w:rPr>
        <w:t>2025.</w:t>
      </w:r>
      <w:r w:rsidRPr="00645F37">
        <w:rPr>
          <w:rFonts w:ascii="Arial" w:hAnsi="Arial" w:cs="Arial"/>
          <w:sz w:val="22"/>
        </w:rPr>
        <w:t>, dok prihodi za njihovo pokriće dospijevaju u 2026. godini.</w:t>
      </w:r>
    </w:p>
    <w:p w14:paraId="68D1E867" w14:textId="5F2D37D9" w:rsidR="009B6ED7" w:rsidRPr="00645F37" w:rsidRDefault="004706AA" w:rsidP="00645F37">
      <w:pPr>
        <w:spacing w:line="259" w:lineRule="auto"/>
        <w:jc w:val="both"/>
        <w:rPr>
          <w:rFonts w:ascii="Arial" w:hAnsi="Arial" w:cs="Arial"/>
          <w:sz w:val="22"/>
        </w:rPr>
      </w:pPr>
      <w:r w:rsidRPr="00645F37">
        <w:rPr>
          <w:rFonts w:ascii="Arial" w:hAnsi="Arial" w:cs="Arial"/>
          <w:sz w:val="22"/>
        </w:rPr>
        <w:t>Preneseni višak iz 2024.godine iznosi 2.596,40</w:t>
      </w:r>
      <w:r w:rsidR="002F2BE4" w:rsidRPr="00645F37">
        <w:rPr>
          <w:rFonts w:ascii="Arial" w:hAnsi="Arial" w:cs="Arial"/>
          <w:sz w:val="22"/>
        </w:rPr>
        <w:t xml:space="preserve"> eura, </w:t>
      </w:r>
      <w:r w:rsidRPr="00645F37">
        <w:rPr>
          <w:rFonts w:ascii="Arial" w:hAnsi="Arial" w:cs="Arial"/>
          <w:sz w:val="22"/>
        </w:rPr>
        <w:t xml:space="preserve"> koji umanjuje nastali manjak tekuće godine, te </w:t>
      </w:r>
      <w:r w:rsidR="009B6ED7" w:rsidRPr="00645F37">
        <w:rPr>
          <w:rFonts w:ascii="Arial" w:hAnsi="Arial" w:cs="Arial"/>
          <w:sz w:val="22"/>
        </w:rPr>
        <w:t xml:space="preserve">bi  </w:t>
      </w:r>
      <w:r w:rsidR="009B6ED7" w:rsidRPr="00645F37">
        <w:rPr>
          <w:rFonts w:ascii="Arial" w:hAnsi="Arial" w:cs="Arial"/>
          <w:b/>
          <w:bCs/>
          <w:sz w:val="22"/>
        </w:rPr>
        <w:t>prijenos manjka u sljedeće razdoblje iznosio 1.941,97 eura.</w:t>
      </w:r>
    </w:p>
    <w:p w14:paraId="797DE11E" w14:textId="77777777" w:rsidR="00E152A3" w:rsidRPr="00645F37" w:rsidRDefault="00E152A3" w:rsidP="00645F37">
      <w:pPr>
        <w:spacing w:line="259" w:lineRule="auto"/>
        <w:jc w:val="both"/>
        <w:rPr>
          <w:rFonts w:ascii="Arial" w:hAnsi="Arial" w:cs="Arial"/>
          <w:sz w:val="22"/>
        </w:rPr>
      </w:pPr>
      <w:r w:rsidRPr="00645F37">
        <w:rPr>
          <w:rFonts w:ascii="Arial" w:hAnsi="Arial" w:cs="Arial"/>
          <w:sz w:val="22"/>
        </w:rPr>
        <w:t>Izvori financiranja rashoda u 2025. godini najvećim dijelom odnose se na sredstva iz nadležnog proračuna, dok se manji dio odnosi na vlastite prihode i prihode za posebne namjene. Značajan udio čine i pomoći iz državnog i županijskog proračuna koje su korištene za provedbu programskih aktivnosti i kapitalna ulaganja.</w:t>
      </w:r>
    </w:p>
    <w:p w14:paraId="6D3242B1" w14:textId="77777777" w:rsidR="00E152A3" w:rsidRDefault="00E152A3" w:rsidP="00645F37">
      <w:pPr>
        <w:spacing w:line="259" w:lineRule="auto"/>
        <w:jc w:val="both"/>
        <w:rPr>
          <w:rFonts w:ascii="Arial" w:hAnsi="Arial" w:cs="Arial"/>
          <w:sz w:val="22"/>
        </w:rPr>
      </w:pPr>
      <w:r w:rsidRPr="00645F37">
        <w:rPr>
          <w:rFonts w:ascii="Arial" w:hAnsi="Arial" w:cs="Arial"/>
          <w:sz w:val="22"/>
        </w:rPr>
        <w:t>Ukupno gledajući, financijsko poslovanje u 2025. godini obilježeno je stabilnim rastom prihoda, ali i izraženijim rastom rashoda, uz ostvarenje planiranih aktivnosti i programa rada ustanove.</w:t>
      </w:r>
    </w:p>
    <w:p w14:paraId="64CC0F62" w14:textId="77777777" w:rsidR="009D2C14" w:rsidRPr="009D2C14" w:rsidRDefault="009D2C14" w:rsidP="009D2C14">
      <w:pPr>
        <w:spacing w:line="259" w:lineRule="auto"/>
        <w:jc w:val="both"/>
        <w:rPr>
          <w:rFonts w:ascii="Arial" w:hAnsi="Arial"/>
          <w:sz w:val="22"/>
          <w:lang w:val="en-GB"/>
        </w:rPr>
      </w:pPr>
      <w:r w:rsidRPr="009D2C14">
        <w:rPr>
          <w:rFonts w:ascii="Arial" w:hAnsi="Arial"/>
          <w:sz w:val="22"/>
          <w:lang w:val="en-GB"/>
        </w:rPr>
        <w:t>Tijekom 2025. godine do ostvarenja manjka prihoda u odnosu na rashode došlo je zbog promjene načina poslovanja proračunskog korisnika uslijed uvođenja sustava riznice sukladno važećim zakonskim propisima.</w:t>
      </w:r>
    </w:p>
    <w:p w14:paraId="03770835" w14:textId="77777777" w:rsidR="009D2C14" w:rsidRPr="009D2C14" w:rsidRDefault="009D2C14" w:rsidP="009D2C14">
      <w:pPr>
        <w:spacing w:line="259" w:lineRule="auto"/>
        <w:jc w:val="both"/>
        <w:rPr>
          <w:rFonts w:ascii="Arial" w:hAnsi="Arial"/>
          <w:sz w:val="22"/>
          <w:lang w:val="en-GB"/>
        </w:rPr>
      </w:pPr>
      <w:r w:rsidRPr="009D2C14">
        <w:rPr>
          <w:rFonts w:ascii="Arial" w:hAnsi="Arial"/>
          <w:sz w:val="22"/>
          <w:lang w:val="en-GB"/>
        </w:rPr>
        <w:t>Zbog prelaska u sustav riznice, obveze za plaće za prosinac 2025. godine evidentirane su u rashodima tekuće godine, dok su pripadajući prihodi za njihovo pokriće doznačeni u sljedećem izvještajnom razdoblju.</w:t>
      </w:r>
    </w:p>
    <w:p w14:paraId="0882986C" w14:textId="77777777" w:rsidR="009D2C14" w:rsidRPr="009D2C14" w:rsidRDefault="009D2C14" w:rsidP="009D2C14">
      <w:pPr>
        <w:spacing w:line="259" w:lineRule="auto"/>
        <w:jc w:val="both"/>
        <w:rPr>
          <w:rFonts w:ascii="Arial" w:hAnsi="Arial"/>
          <w:sz w:val="22"/>
          <w:lang w:val="en-GB"/>
        </w:rPr>
      </w:pPr>
      <w:r w:rsidRPr="009D2C14">
        <w:rPr>
          <w:rFonts w:ascii="Arial" w:hAnsi="Arial"/>
          <w:sz w:val="22"/>
          <w:lang w:val="en-GB"/>
        </w:rPr>
        <w:t>Time je došlo do vremenskog nepodudaranja priznavanja prihoda i rashoda, što je rezultiralo iskazanim manjkom koji ima isključivo računovodstveni karakter i ne utječe na likvidnost ustanove.</w:t>
      </w:r>
    </w:p>
    <w:p w14:paraId="66ED0349" w14:textId="77777777" w:rsidR="008B0D10" w:rsidRPr="00645F37" w:rsidRDefault="008B0D10" w:rsidP="00645F37">
      <w:pPr>
        <w:spacing w:line="259" w:lineRule="auto"/>
        <w:jc w:val="both"/>
        <w:rPr>
          <w:rFonts w:ascii="Arial" w:hAnsi="Arial" w:cs="Arial"/>
          <w:sz w:val="22"/>
        </w:rPr>
      </w:pPr>
    </w:p>
    <w:p w14:paraId="0A9E129D" w14:textId="77777777" w:rsidR="002C51BC" w:rsidRPr="002C51BC" w:rsidRDefault="002C51BC" w:rsidP="002C51BC">
      <w:pPr>
        <w:tabs>
          <w:tab w:val="left" w:pos="720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</w:rPr>
      </w:pPr>
    </w:p>
    <w:p w14:paraId="6D3CC5B5" w14:textId="77777777" w:rsidR="002C51BC" w:rsidRPr="009A46D5" w:rsidRDefault="002C51BC" w:rsidP="002C51BC">
      <w:pPr>
        <w:tabs>
          <w:tab w:val="left" w:pos="720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bCs/>
          <w:sz w:val="22"/>
        </w:rPr>
      </w:pPr>
      <w:r w:rsidRPr="009A46D5">
        <w:rPr>
          <w:rFonts w:ascii="Arial" w:hAnsi="Arial" w:cs="Arial"/>
          <w:b/>
          <w:bCs/>
          <w:sz w:val="22"/>
        </w:rPr>
        <w:t>PRIHODI I RASHODI PREMA EKONOMSKOJ KLASIFIKACIJI</w:t>
      </w:r>
    </w:p>
    <w:p w14:paraId="4F79A531" w14:textId="0A85A847" w:rsidR="002C51BC" w:rsidRPr="002C51BC" w:rsidRDefault="002C51BC" w:rsidP="002C51BC">
      <w:pPr>
        <w:tabs>
          <w:tab w:val="left" w:pos="720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bCs/>
          <w:sz w:val="22"/>
        </w:rPr>
      </w:pPr>
      <w:r w:rsidRPr="002C51BC">
        <w:rPr>
          <w:rFonts w:ascii="Arial" w:hAnsi="Arial" w:cs="Arial"/>
          <w:b/>
          <w:bCs/>
          <w:sz w:val="22"/>
        </w:rPr>
        <w:t xml:space="preserve">6 – Ukupni ostvareni prihodi iznose </w:t>
      </w:r>
      <w:r w:rsidR="00836F8F">
        <w:rPr>
          <w:rFonts w:ascii="Arial" w:hAnsi="Arial" w:cs="Arial"/>
          <w:b/>
          <w:bCs/>
          <w:sz w:val="22"/>
        </w:rPr>
        <w:t>6</w:t>
      </w:r>
      <w:r w:rsidR="00F5579A">
        <w:rPr>
          <w:rFonts w:ascii="Arial" w:hAnsi="Arial" w:cs="Arial"/>
          <w:b/>
          <w:bCs/>
          <w:sz w:val="22"/>
        </w:rPr>
        <w:t>2</w:t>
      </w:r>
      <w:r w:rsidR="00836F8F">
        <w:rPr>
          <w:rFonts w:ascii="Arial" w:hAnsi="Arial" w:cs="Arial"/>
          <w:b/>
          <w:bCs/>
          <w:sz w:val="22"/>
        </w:rPr>
        <w:t>.</w:t>
      </w:r>
      <w:r w:rsidR="00F5579A">
        <w:rPr>
          <w:rFonts w:ascii="Arial" w:hAnsi="Arial" w:cs="Arial"/>
          <w:b/>
          <w:bCs/>
          <w:sz w:val="22"/>
        </w:rPr>
        <w:t>643,74</w:t>
      </w:r>
      <w:r w:rsidRPr="002C51BC">
        <w:rPr>
          <w:rFonts w:ascii="Arial" w:hAnsi="Arial" w:cs="Arial"/>
          <w:b/>
          <w:bCs/>
          <w:sz w:val="22"/>
        </w:rPr>
        <w:t xml:space="preserve"> eura.</w:t>
      </w:r>
    </w:p>
    <w:p w14:paraId="08C32D22" w14:textId="235EAD2A" w:rsidR="002C51BC" w:rsidRPr="002C51BC" w:rsidRDefault="002C51BC" w:rsidP="002C51BC">
      <w:pPr>
        <w:jc w:val="both"/>
        <w:rPr>
          <w:rFonts w:ascii="Arial" w:hAnsi="Arial" w:cs="Arial"/>
          <w:bCs/>
          <w:sz w:val="22"/>
        </w:rPr>
      </w:pPr>
      <w:r w:rsidRPr="002C51BC">
        <w:rPr>
          <w:rFonts w:ascii="Arial" w:hAnsi="Arial" w:cs="Arial"/>
          <w:b/>
          <w:bCs/>
          <w:sz w:val="22"/>
        </w:rPr>
        <w:t xml:space="preserve">    63 – Pomoći iz inozemstva i od subjekata unutar općeg proračuna</w:t>
      </w:r>
      <w:r w:rsidRPr="002C51BC">
        <w:rPr>
          <w:rFonts w:ascii="Arial" w:hAnsi="Arial" w:cs="Arial"/>
          <w:sz w:val="22"/>
        </w:rPr>
        <w:t xml:space="preserve"> bilježe rast </w:t>
      </w:r>
      <w:r w:rsidR="008B0D10">
        <w:rPr>
          <w:rFonts w:ascii="Arial" w:hAnsi="Arial" w:cs="Arial"/>
          <w:sz w:val="22"/>
        </w:rPr>
        <w:t xml:space="preserve">u odnosu na </w:t>
      </w:r>
      <w:r w:rsidRPr="002C51BC">
        <w:rPr>
          <w:rFonts w:ascii="Arial" w:hAnsi="Arial" w:cs="Arial"/>
          <w:sz w:val="22"/>
        </w:rPr>
        <w:t>prošl</w:t>
      </w:r>
      <w:r w:rsidR="008B0D10">
        <w:rPr>
          <w:rFonts w:ascii="Arial" w:hAnsi="Arial" w:cs="Arial"/>
          <w:sz w:val="22"/>
        </w:rPr>
        <w:t>u</w:t>
      </w:r>
      <w:r w:rsidRPr="002C51BC">
        <w:rPr>
          <w:rFonts w:ascii="Arial" w:hAnsi="Arial" w:cs="Arial"/>
          <w:sz w:val="22"/>
        </w:rPr>
        <w:t xml:space="preserve"> godin</w:t>
      </w:r>
      <w:r w:rsidR="008B0D10">
        <w:rPr>
          <w:rFonts w:ascii="Arial" w:hAnsi="Arial" w:cs="Arial"/>
          <w:sz w:val="22"/>
        </w:rPr>
        <w:t>u</w:t>
      </w:r>
      <w:r w:rsidRPr="002C51BC">
        <w:rPr>
          <w:rFonts w:ascii="Arial" w:hAnsi="Arial" w:cs="Arial"/>
          <w:sz w:val="22"/>
        </w:rPr>
        <w:t xml:space="preserve"> te iznose </w:t>
      </w:r>
      <w:r w:rsidR="002D066C">
        <w:rPr>
          <w:rFonts w:ascii="Arial" w:hAnsi="Arial" w:cs="Arial"/>
          <w:sz w:val="22"/>
        </w:rPr>
        <w:t>13.256,61</w:t>
      </w:r>
      <w:r w:rsidRPr="002C51BC">
        <w:rPr>
          <w:rFonts w:ascii="Arial" w:hAnsi="Arial" w:cs="Arial"/>
          <w:sz w:val="22"/>
        </w:rPr>
        <w:t xml:space="preserve"> eura, te su ostvareni </w:t>
      </w:r>
      <w:r w:rsidR="00836F8F">
        <w:rPr>
          <w:rFonts w:ascii="Arial" w:hAnsi="Arial" w:cs="Arial"/>
          <w:sz w:val="22"/>
        </w:rPr>
        <w:t>1</w:t>
      </w:r>
      <w:r w:rsidR="00AB05FA">
        <w:rPr>
          <w:rFonts w:ascii="Arial" w:hAnsi="Arial" w:cs="Arial"/>
          <w:sz w:val="22"/>
        </w:rPr>
        <w:t>05,3</w:t>
      </w:r>
      <w:r w:rsidRPr="002C51BC">
        <w:rPr>
          <w:rFonts w:ascii="Arial" w:hAnsi="Arial" w:cs="Arial"/>
          <w:sz w:val="22"/>
        </w:rPr>
        <w:t xml:space="preserve">% </w:t>
      </w:r>
      <w:r w:rsidR="008B0D10">
        <w:rPr>
          <w:rFonts w:ascii="Arial" w:hAnsi="Arial" w:cs="Arial"/>
          <w:sz w:val="22"/>
        </w:rPr>
        <w:t>u odnosu na</w:t>
      </w:r>
      <w:r w:rsidRPr="002C51BC">
        <w:rPr>
          <w:rFonts w:ascii="Arial" w:hAnsi="Arial" w:cs="Arial"/>
          <w:sz w:val="22"/>
        </w:rPr>
        <w:t xml:space="preserve"> plan. Odnose se na pomoći iz državnog proračuna za </w:t>
      </w:r>
      <w:r w:rsidR="00836F8F">
        <w:rPr>
          <w:rFonts w:ascii="Arial" w:hAnsi="Arial" w:cs="Arial"/>
          <w:sz w:val="22"/>
        </w:rPr>
        <w:t xml:space="preserve">programsku aktivnost Očuvajmo naš jezik i tradiciju u iznosu od </w:t>
      </w:r>
      <w:r w:rsidR="00AF3269">
        <w:rPr>
          <w:rFonts w:ascii="Arial" w:hAnsi="Arial" w:cs="Arial"/>
          <w:sz w:val="22"/>
        </w:rPr>
        <w:t>3.</w:t>
      </w:r>
      <w:r w:rsidR="002D066C">
        <w:rPr>
          <w:rFonts w:ascii="Arial" w:hAnsi="Arial" w:cs="Arial"/>
          <w:sz w:val="22"/>
        </w:rPr>
        <w:t>9</w:t>
      </w:r>
      <w:r w:rsidR="00AF3269">
        <w:rPr>
          <w:rFonts w:ascii="Arial" w:hAnsi="Arial" w:cs="Arial"/>
          <w:sz w:val="22"/>
        </w:rPr>
        <w:t xml:space="preserve">00,00 eura te za programsku aktivnost Izrada digitalnih sadržaja na vlaškom jeziku </w:t>
      </w:r>
      <w:r w:rsidR="002D066C">
        <w:rPr>
          <w:rFonts w:ascii="Arial" w:hAnsi="Arial" w:cs="Arial"/>
          <w:sz w:val="22"/>
        </w:rPr>
        <w:t>3.250</w:t>
      </w:r>
      <w:r w:rsidR="00AF3269">
        <w:rPr>
          <w:rFonts w:ascii="Arial" w:hAnsi="Arial" w:cs="Arial"/>
          <w:sz w:val="22"/>
        </w:rPr>
        <w:t xml:space="preserve">,00 eura </w:t>
      </w:r>
      <w:r w:rsidR="00836F8F">
        <w:rPr>
          <w:rFonts w:ascii="Arial" w:hAnsi="Arial" w:cs="Arial"/>
          <w:sz w:val="22"/>
        </w:rPr>
        <w:t xml:space="preserve">i </w:t>
      </w:r>
      <w:r w:rsidRPr="002C51BC">
        <w:rPr>
          <w:rFonts w:ascii="Arial" w:hAnsi="Arial" w:cs="Arial"/>
          <w:sz w:val="22"/>
        </w:rPr>
        <w:t xml:space="preserve">Tekuće pomoći iz proračuna JLP(R)S koji nije nadležan proračunskom korisniku odnose se na uplate </w:t>
      </w:r>
      <w:r w:rsidR="00AF3269">
        <w:rPr>
          <w:rFonts w:ascii="Arial" w:hAnsi="Arial" w:cs="Arial"/>
          <w:sz w:val="22"/>
        </w:rPr>
        <w:t xml:space="preserve">Istarske županije </w:t>
      </w:r>
      <w:r w:rsidRPr="002C51BC">
        <w:rPr>
          <w:rFonts w:ascii="Arial" w:hAnsi="Arial" w:cs="Arial"/>
          <w:sz w:val="22"/>
        </w:rPr>
        <w:t xml:space="preserve"> za sufinanciranje </w:t>
      </w:r>
      <w:r w:rsidR="00AF3269">
        <w:rPr>
          <w:rFonts w:ascii="Arial" w:hAnsi="Arial" w:cs="Arial"/>
          <w:sz w:val="22"/>
        </w:rPr>
        <w:t>programskih aktivnosti Očuvajmo naš jezik i tradiciju u iznosu od 3.</w:t>
      </w:r>
      <w:r w:rsidR="002D066C">
        <w:rPr>
          <w:rFonts w:ascii="Arial" w:hAnsi="Arial" w:cs="Arial"/>
          <w:sz w:val="22"/>
        </w:rPr>
        <w:t>5</w:t>
      </w:r>
      <w:r w:rsidR="00AF3269">
        <w:rPr>
          <w:rFonts w:ascii="Arial" w:hAnsi="Arial" w:cs="Arial"/>
          <w:sz w:val="22"/>
        </w:rPr>
        <w:t>00,00 eura te 2.</w:t>
      </w:r>
      <w:r w:rsidR="002D066C">
        <w:rPr>
          <w:rFonts w:ascii="Arial" w:hAnsi="Arial" w:cs="Arial"/>
          <w:sz w:val="22"/>
        </w:rPr>
        <w:t>606,61</w:t>
      </w:r>
      <w:r w:rsidR="00AF3269">
        <w:rPr>
          <w:rFonts w:ascii="Arial" w:hAnsi="Arial" w:cs="Arial"/>
          <w:sz w:val="22"/>
        </w:rPr>
        <w:t xml:space="preserve">eura za program Nastavak uređenja tematskih staza i </w:t>
      </w:r>
      <w:r w:rsidR="00B6252E">
        <w:rPr>
          <w:rFonts w:ascii="Arial" w:hAnsi="Arial" w:cs="Arial"/>
          <w:sz w:val="22"/>
        </w:rPr>
        <w:t>I</w:t>
      </w:r>
      <w:r w:rsidR="00AF3269">
        <w:rPr>
          <w:rFonts w:ascii="Arial" w:hAnsi="Arial" w:cs="Arial"/>
          <w:sz w:val="22"/>
        </w:rPr>
        <w:t>nterpretacijskog centra</w:t>
      </w:r>
      <w:r w:rsidRPr="002C51BC">
        <w:rPr>
          <w:rFonts w:ascii="Arial" w:hAnsi="Arial" w:cs="Arial"/>
          <w:sz w:val="22"/>
        </w:rPr>
        <w:t xml:space="preserve"> </w:t>
      </w:r>
      <w:r w:rsidR="00AF3269">
        <w:rPr>
          <w:rFonts w:ascii="Arial" w:hAnsi="Arial" w:cs="Arial"/>
          <w:sz w:val="22"/>
        </w:rPr>
        <w:t xml:space="preserve"> Vlaški puti. </w:t>
      </w:r>
      <w:r w:rsidRPr="002C51BC">
        <w:rPr>
          <w:rFonts w:ascii="Arial" w:hAnsi="Arial" w:cs="Arial"/>
          <w:sz w:val="22"/>
        </w:rPr>
        <w:t xml:space="preserve">Navedene pomoći su veće nego u istom razdoblju prethodne godine </w:t>
      </w:r>
      <w:r w:rsidR="00AF3269">
        <w:rPr>
          <w:rFonts w:ascii="Arial" w:hAnsi="Arial" w:cs="Arial"/>
          <w:sz w:val="22"/>
        </w:rPr>
        <w:t xml:space="preserve">za </w:t>
      </w:r>
      <w:r w:rsidR="00547699">
        <w:rPr>
          <w:rFonts w:ascii="Arial" w:hAnsi="Arial" w:cs="Arial"/>
          <w:sz w:val="22"/>
        </w:rPr>
        <w:t>19,4</w:t>
      </w:r>
      <w:r w:rsidR="00AF3269">
        <w:rPr>
          <w:rFonts w:ascii="Arial" w:hAnsi="Arial" w:cs="Arial"/>
          <w:sz w:val="22"/>
        </w:rPr>
        <w:t xml:space="preserve"> %</w:t>
      </w:r>
      <w:r w:rsidRPr="002C51BC">
        <w:rPr>
          <w:rFonts w:ascii="Arial" w:hAnsi="Arial" w:cs="Arial"/>
          <w:sz w:val="22"/>
        </w:rPr>
        <w:t xml:space="preserve">. </w:t>
      </w:r>
    </w:p>
    <w:p w14:paraId="227BBC56" w14:textId="7429AE82" w:rsidR="002C51BC" w:rsidRPr="00AF3269" w:rsidRDefault="002C51BC" w:rsidP="00AF3269">
      <w:pPr>
        <w:jc w:val="both"/>
        <w:rPr>
          <w:rFonts w:ascii="Arial" w:hAnsi="Arial" w:cs="Arial"/>
          <w:sz w:val="22"/>
        </w:rPr>
      </w:pPr>
      <w:r w:rsidRPr="002C51BC">
        <w:rPr>
          <w:rFonts w:ascii="Arial" w:hAnsi="Arial" w:cs="Arial"/>
          <w:b/>
          <w:bCs/>
          <w:sz w:val="22"/>
        </w:rPr>
        <w:t xml:space="preserve">     6</w:t>
      </w:r>
      <w:r w:rsidR="00AF3269">
        <w:rPr>
          <w:rFonts w:ascii="Arial" w:hAnsi="Arial" w:cs="Arial"/>
          <w:b/>
          <w:bCs/>
          <w:sz w:val="22"/>
        </w:rPr>
        <w:t xml:space="preserve">4 – Prihodi od imovine </w:t>
      </w:r>
      <w:r w:rsidR="00AF3269" w:rsidRPr="00AF3269">
        <w:rPr>
          <w:rFonts w:ascii="Arial" w:hAnsi="Arial" w:cs="Arial"/>
          <w:sz w:val="22"/>
        </w:rPr>
        <w:t xml:space="preserve">iznose </w:t>
      </w:r>
      <w:r w:rsidR="002D066C">
        <w:rPr>
          <w:rFonts w:ascii="Arial" w:hAnsi="Arial" w:cs="Arial"/>
          <w:sz w:val="22"/>
        </w:rPr>
        <w:t>2,58</w:t>
      </w:r>
      <w:r w:rsidR="00AF3269" w:rsidRPr="00AF3269">
        <w:rPr>
          <w:rFonts w:ascii="Arial" w:hAnsi="Arial" w:cs="Arial"/>
          <w:sz w:val="22"/>
        </w:rPr>
        <w:t xml:space="preserve"> eura, a </w:t>
      </w:r>
      <w:r w:rsidR="00AF3269">
        <w:rPr>
          <w:rFonts w:ascii="Arial" w:hAnsi="Arial" w:cs="Arial"/>
          <w:sz w:val="22"/>
        </w:rPr>
        <w:t xml:space="preserve">odnose se ne kamate na oročena sredstva i depozite po viđenju. </w:t>
      </w:r>
    </w:p>
    <w:p w14:paraId="71095A3F" w14:textId="4D34E56C" w:rsidR="002C51BC" w:rsidRPr="002C51BC" w:rsidRDefault="002C51BC" w:rsidP="000C3DE7">
      <w:pPr>
        <w:tabs>
          <w:tab w:val="left" w:pos="720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</w:rPr>
      </w:pPr>
      <w:r w:rsidRPr="002C51BC">
        <w:rPr>
          <w:rFonts w:ascii="Arial" w:hAnsi="Arial" w:cs="Arial"/>
          <w:b/>
          <w:bCs/>
          <w:sz w:val="22"/>
        </w:rPr>
        <w:t xml:space="preserve">66 – Prihodi od prodaje proizvoda i robe te pruženih usluga, prihodi od donacija </w:t>
      </w:r>
      <w:r w:rsidRPr="002C51BC">
        <w:rPr>
          <w:rFonts w:ascii="Arial" w:hAnsi="Arial" w:cs="Arial"/>
          <w:sz w:val="22"/>
        </w:rPr>
        <w:t xml:space="preserve">iznose </w:t>
      </w:r>
      <w:r w:rsidR="002D066C">
        <w:rPr>
          <w:rFonts w:ascii="Arial" w:hAnsi="Arial" w:cs="Arial"/>
          <w:sz w:val="22"/>
        </w:rPr>
        <w:t>1.786,00</w:t>
      </w:r>
      <w:r w:rsidRPr="002C51BC">
        <w:rPr>
          <w:rFonts w:ascii="Arial" w:hAnsi="Arial" w:cs="Arial"/>
          <w:sz w:val="22"/>
        </w:rPr>
        <w:t xml:space="preserve"> eura, te su ostvareni </w:t>
      </w:r>
      <w:r w:rsidR="002D066C">
        <w:rPr>
          <w:rFonts w:ascii="Arial" w:hAnsi="Arial" w:cs="Arial"/>
          <w:sz w:val="22"/>
        </w:rPr>
        <w:t>105,7</w:t>
      </w:r>
      <w:r w:rsidR="000C3DE7">
        <w:rPr>
          <w:rFonts w:ascii="Arial" w:hAnsi="Arial" w:cs="Arial"/>
          <w:sz w:val="22"/>
        </w:rPr>
        <w:t xml:space="preserve"> %</w:t>
      </w:r>
      <w:r w:rsidRPr="002C51BC">
        <w:rPr>
          <w:rFonts w:ascii="Arial" w:hAnsi="Arial" w:cs="Arial"/>
          <w:sz w:val="22"/>
        </w:rPr>
        <w:t xml:space="preserve"> od plana. Ovi prihodi odnose se na prihode od </w:t>
      </w:r>
      <w:r w:rsidR="000C3DE7">
        <w:rPr>
          <w:rFonts w:ascii="Arial" w:hAnsi="Arial" w:cs="Arial"/>
          <w:sz w:val="22"/>
        </w:rPr>
        <w:t>ulaznica i prodaje suvenira.</w:t>
      </w:r>
      <w:r w:rsidRPr="002C51BC">
        <w:rPr>
          <w:rFonts w:ascii="Arial" w:hAnsi="Arial" w:cs="Arial"/>
          <w:sz w:val="22"/>
        </w:rPr>
        <w:t xml:space="preserve">  </w:t>
      </w:r>
    </w:p>
    <w:p w14:paraId="0FAC5E83" w14:textId="77777777" w:rsidR="00845DB2" w:rsidRPr="00845DB2" w:rsidRDefault="00845DB2" w:rsidP="00845DB2">
      <w:pPr>
        <w:tabs>
          <w:tab w:val="left" w:pos="720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bCs/>
          <w:sz w:val="22"/>
          <w:lang w:val="en-GB"/>
        </w:rPr>
      </w:pPr>
      <w:r w:rsidRPr="00845DB2">
        <w:rPr>
          <w:rFonts w:ascii="Arial" w:hAnsi="Arial" w:cs="Arial"/>
          <w:b/>
          <w:bCs/>
          <w:sz w:val="22"/>
          <w:lang w:val="en-GB"/>
        </w:rPr>
        <w:t>67 – Prihodi iz nadležnog proračuna i od HZZO-a temeljem ugovornih obveza</w:t>
      </w:r>
    </w:p>
    <w:p w14:paraId="62B28D45" w14:textId="77777777" w:rsidR="00845DB2" w:rsidRPr="00845DB2" w:rsidRDefault="00845DB2" w:rsidP="00845DB2">
      <w:pPr>
        <w:tabs>
          <w:tab w:val="left" w:pos="720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lang w:val="en-GB"/>
        </w:rPr>
      </w:pPr>
      <w:r w:rsidRPr="00845DB2">
        <w:rPr>
          <w:rFonts w:ascii="Arial" w:hAnsi="Arial" w:cs="Arial"/>
          <w:sz w:val="22"/>
          <w:lang w:val="en-GB"/>
        </w:rPr>
        <w:t>Prihodi iz nadležnog proračuna iznose 47.590,57 eura te su ostvareni u visini od 84,90% u odnosu na plan.</w:t>
      </w:r>
    </w:p>
    <w:p w14:paraId="76E28D6B" w14:textId="77777777" w:rsidR="00845DB2" w:rsidRPr="00845DB2" w:rsidRDefault="00845DB2" w:rsidP="00845DB2">
      <w:pPr>
        <w:tabs>
          <w:tab w:val="left" w:pos="720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lang w:val="en-GB"/>
        </w:rPr>
      </w:pPr>
      <w:r w:rsidRPr="00845DB2">
        <w:rPr>
          <w:rFonts w:ascii="Arial" w:hAnsi="Arial" w:cs="Arial"/>
          <w:sz w:val="22"/>
          <w:lang w:val="en-GB"/>
        </w:rPr>
        <w:t>Ostvareni prihodi odnose se na sredstva iz proračuna Općine Kršan za financiranje redovne djelatnosti proračunskog korisnika, uključujući rashode za zaposlene te materijalne i financijske rashode.</w:t>
      </w:r>
    </w:p>
    <w:p w14:paraId="6C583DA6" w14:textId="77777777" w:rsidR="00845DB2" w:rsidRPr="00845DB2" w:rsidRDefault="00845DB2" w:rsidP="00845DB2">
      <w:pPr>
        <w:tabs>
          <w:tab w:val="left" w:pos="720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lang w:val="en-GB"/>
        </w:rPr>
      </w:pPr>
      <w:r w:rsidRPr="00845DB2">
        <w:rPr>
          <w:rFonts w:ascii="Arial" w:hAnsi="Arial" w:cs="Arial"/>
          <w:sz w:val="22"/>
          <w:lang w:val="en-GB"/>
        </w:rPr>
        <w:t>U odnosu na plan, ostvarenje je niže zbog dinamike izvršavanja financijskog plana i usklađenja doznačenih sredstava s stvarno nastalim rashodima u izvještajnom razdoblju.</w:t>
      </w:r>
    </w:p>
    <w:p w14:paraId="10420C35" w14:textId="77777777" w:rsidR="00845DB2" w:rsidRPr="00845DB2" w:rsidRDefault="00845DB2" w:rsidP="00845DB2">
      <w:pPr>
        <w:tabs>
          <w:tab w:val="left" w:pos="720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lang w:val="en-GB"/>
        </w:rPr>
      </w:pPr>
      <w:r w:rsidRPr="00845DB2">
        <w:rPr>
          <w:rFonts w:ascii="Arial" w:hAnsi="Arial" w:cs="Arial"/>
          <w:sz w:val="22"/>
          <w:lang w:val="en-GB"/>
        </w:rPr>
        <w:t>Razlika između ostvarenih prihoda iz nadležnog proračuna i ukupno financiranih rashoda iz tog izvora proizlazi iz vremenskog razgraničenja i prijenosa dijela obveza u sljedeće proračunsko razdoblje.</w:t>
      </w:r>
    </w:p>
    <w:p w14:paraId="742498E1" w14:textId="7DE95451" w:rsidR="002C51BC" w:rsidRPr="002C51BC" w:rsidRDefault="002C51BC" w:rsidP="002C51BC">
      <w:pPr>
        <w:tabs>
          <w:tab w:val="left" w:pos="720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bCs/>
          <w:sz w:val="22"/>
        </w:rPr>
      </w:pPr>
      <w:r w:rsidRPr="002C51BC">
        <w:rPr>
          <w:rFonts w:ascii="Arial" w:hAnsi="Arial" w:cs="Arial"/>
          <w:b/>
          <w:bCs/>
          <w:sz w:val="22"/>
        </w:rPr>
        <w:t xml:space="preserve">3  – Ukupni ostvareni rashodi iznose </w:t>
      </w:r>
      <w:r w:rsidR="004A3AF6">
        <w:rPr>
          <w:rFonts w:ascii="Arial" w:hAnsi="Arial" w:cs="Arial"/>
          <w:b/>
          <w:bCs/>
          <w:sz w:val="22"/>
        </w:rPr>
        <w:t>67.182,11</w:t>
      </w:r>
      <w:r w:rsidRPr="002C51BC">
        <w:rPr>
          <w:rFonts w:ascii="Arial" w:hAnsi="Arial" w:cs="Arial"/>
          <w:b/>
          <w:bCs/>
          <w:sz w:val="22"/>
        </w:rPr>
        <w:t xml:space="preserve"> eura.</w:t>
      </w:r>
    </w:p>
    <w:p w14:paraId="3B09F33D" w14:textId="77777777" w:rsidR="002C51BC" w:rsidRPr="002C51BC" w:rsidRDefault="002C51BC" w:rsidP="002C51BC">
      <w:pPr>
        <w:spacing w:after="0"/>
        <w:jc w:val="both"/>
        <w:rPr>
          <w:rFonts w:ascii="Arial" w:hAnsi="Arial" w:cs="Arial"/>
          <w:color w:val="FF0000"/>
          <w:sz w:val="22"/>
        </w:rPr>
      </w:pPr>
    </w:p>
    <w:p w14:paraId="07C53C9C" w14:textId="6C34A5D8" w:rsidR="002C51BC" w:rsidRPr="002C51BC" w:rsidRDefault="002C51BC" w:rsidP="002C51BC">
      <w:pPr>
        <w:spacing w:after="0"/>
        <w:jc w:val="both"/>
        <w:rPr>
          <w:rFonts w:ascii="Arial" w:hAnsi="Arial" w:cs="Arial"/>
          <w:sz w:val="22"/>
        </w:rPr>
      </w:pPr>
      <w:r w:rsidRPr="002C51BC">
        <w:rPr>
          <w:rFonts w:ascii="Arial" w:hAnsi="Arial" w:cs="Arial"/>
          <w:b/>
          <w:bCs/>
          <w:sz w:val="22"/>
        </w:rPr>
        <w:t xml:space="preserve">     31 – Rashodi za zaposlene</w:t>
      </w:r>
      <w:r w:rsidRPr="002C51BC">
        <w:rPr>
          <w:rFonts w:ascii="Arial" w:hAnsi="Arial" w:cs="Arial"/>
          <w:sz w:val="22"/>
        </w:rPr>
        <w:t xml:space="preserve"> iznose </w:t>
      </w:r>
      <w:r w:rsidR="002D066C">
        <w:rPr>
          <w:rFonts w:ascii="Arial" w:hAnsi="Arial" w:cs="Arial"/>
          <w:sz w:val="22"/>
        </w:rPr>
        <w:t>49.179,45</w:t>
      </w:r>
      <w:r w:rsidR="00D45990">
        <w:rPr>
          <w:rFonts w:ascii="Arial" w:hAnsi="Arial" w:cs="Arial"/>
          <w:sz w:val="22"/>
        </w:rPr>
        <w:t xml:space="preserve"> </w:t>
      </w:r>
      <w:r w:rsidRPr="002C51BC">
        <w:rPr>
          <w:rFonts w:ascii="Arial" w:hAnsi="Arial" w:cs="Arial"/>
          <w:sz w:val="22"/>
        </w:rPr>
        <w:t xml:space="preserve">eura, odnosno ostvareno je </w:t>
      </w:r>
      <w:r w:rsidR="002D066C">
        <w:rPr>
          <w:rFonts w:ascii="Arial" w:hAnsi="Arial" w:cs="Arial"/>
          <w:sz w:val="22"/>
        </w:rPr>
        <w:t>91,9</w:t>
      </w:r>
      <w:r w:rsidRPr="002C51BC">
        <w:rPr>
          <w:rFonts w:ascii="Arial" w:hAnsi="Arial" w:cs="Arial"/>
          <w:sz w:val="22"/>
        </w:rPr>
        <w:t xml:space="preserve">% </w:t>
      </w:r>
      <w:r w:rsidR="008B0D10">
        <w:rPr>
          <w:rFonts w:ascii="Arial" w:hAnsi="Arial" w:cs="Arial"/>
          <w:sz w:val="22"/>
        </w:rPr>
        <w:t xml:space="preserve">u odnosu  na </w:t>
      </w:r>
      <w:r w:rsidRPr="002C51BC">
        <w:rPr>
          <w:rFonts w:ascii="Arial" w:hAnsi="Arial" w:cs="Arial"/>
          <w:sz w:val="22"/>
        </w:rPr>
        <w:t xml:space="preserve">plan.  U odnosu na isto razdoblje prethodne godine vidimo povećanje rashoda. Rashodi su veći u odnosu na prethodnu godinu zbog povećanja plaća </w:t>
      </w:r>
      <w:r w:rsidR="009D2C14">
        <w:rPr>
          <w:rFonts w:ascii="Arial" w:hAnsi="Arial" w:cs="Arial"/>
          <w:sz w:val="22"/>
        </w:rPr>
        <w:t xml:space="preserve">na temelju </w:t>
      </w:r>
      <w:r w:rsidR="00D45990">
        <w:rPr>
          <w:rFonts w:ascii="Arial" w:hAnsi="Arial" w:cs="Arial"/>
          <w:sz w:val="22"/>
        </w:rPr>
        <w:t>usklađenja osnovice za izračun plaća s osnovicom djelatnika Općine Kršan.</w:t>
      </w:r>
    </w:p>
    <w:p w14:paraId="34B2F128" w14:textId="77777777" w:rsidR="002C51BC" w:rsidRPr="002C51BC" w:rsidRDefault="002C51BC" w:rsidP="002C51BC">
      <w:pPr>
        <w:spacing w:after="0"/>
        <w:jc w:val="both"/>
        <w:rPr>
          <w:rFonts w:ascii="Arial" w:hAnsi="Arial" w:cs="Arial"/>
          <w:sz w:val="22"/>
        </w:rPr>
      </w:pPr>
    </w:p>
    <w:p w14:paraId="4FDA661E" w14:textId="79A2ADDB" w:rsidR="002C51BC" w:rsidRPr="002C51BC" w:rsidRDefault="002C51BC" w:rsidP="002C51BC">
      <w:pPr>
        <w:ind w:firstLine="284"/>
        <w:jc w:val="both"/>
        <w:rPr>
          <w:rFonts w:ascii="Arial" w:hAnsi="Arial" w:cs="Arial"/>
          <w:sz w:val="22"/>
        </w:rPr>
      </w:pPr>
      <w:r w:rsidRPr="002C51BC">
        <w:rPr>
          <w:rFonts w:ascii="Arial" w:hAnsi="Arial" w:cs="Arial"/>
          <w:b/>
          <w:bCs/>
          <w:sz w:val="22"/>
        </w:rPr>
        <w:t xml:space="preserve">32 – Materijalni rashodi </w:t>
      </w:r>
      <w:r w:rsidRPr="002C51BC">
        <w:rPr>
          <w:rFonts w:ascii="Arial" w:hAnsi="Arial" w:cs="Arial"/>
          <w:sz w:val="22"/>
        </w:rPr>
        <w:t xml:space="preserve">ostvareni su u iznosu od </w:t>
      </w:r>
      <w:r w:rsidR="00D45990">
        <w:rPr>
          <w:rFonts w:ascii="Arial" w:hAnsi="Arial" w:cs="Arial"/>
          <w:sz w:val="22"/>
        </w:rPr>
        <w:t>14.</w:t>
      </w:r>
      <w:r w:rsidR="002D066C">
        <w:rPr>
          <w:rFonts w:ascii="Arial" w:hAnsi="Arial" w:cs="Arial"/>
          <w:sz w:val="22"/>
        </w:rPr>
        <w:t>571,35</w:t>
      </w:r>
      <w:r w:rsidRPr="002C51BC">
        <w:rPr>
          <w:rFonts w:ascii="Arial" w:hAnsi="Arial" w:cs="Arial"/>
          <w:sz w:val="22"/>
        </w:rPr>
        <w:t xml:space="preserve"> eura, odnosno </w:t>
      </w:r>
      <w:r w:rsidR="002D066C">
        <w:rPr>
          <w:rFonts w:ascii="Arial" w:hAnsi="Arial" w:cs="Arial"/>
          <w:sz w:val="22"/>
        </w:rPr>
        <w:t>80,3</w:t>
      </w:r>
      <w:r w:rsidR="00D45990">
        <w:rPr>
          <w:rFonts w:ascii="Arial" w:hAnsi="Arial" w:cs="Arial"/>
          <w:sz w:val="22"/>
        </w:rPr>
        <w:t xml:space="preserve"> </w:t>
      </w:r>
      <w:r w:rsidRPr="002C51BC">
        <w:rPr>
          <w:rFonts w:ascii="Arial" w:hAnsi="Arial" w:cs="Arial"/>
          <w:sz w:val="22"/>
        </w:rPr>
        <w:t>%</w:t>
      </w:r>
      <w:r w:rsidR="007F08B8" w:rsidRPr="007F08B8">
        <w:rPr>
          <w:rFonts w:ascii="Arial" w:hAnsi="Arial" w:cs="Arial"/>
          <w:sz w:val="22"/>
        </w:rPr>
        <w:t xml:space="preserve"> </w:t>
      </w:r>
      <w:r w:rsidR="007F08B8">
        <w:rPr>
          <w:rFonts w:ascii="Arial" w:hAnsi="Arial" w:cs="Arial"/>
          <w:sz w:val="22"/>
        </w:rPr>
        <w:t xml:space="preserve">u odnosu  na </w:t>
      </w:r>
      <w:r w:rsidRPr="002C51BC">
        <w:rPr>
          <w:rFonts w:ascii="Arial" w:hAnsi="Arial" w:cs="Arial"/>
          <w:sz w:val="22"/>
        </w:rPr>
        <w:t>plan. Odnose se na naknade troškova zaposlenima, rashodi za materijal i energiju, rashodi za usluge i ostale nespomenute rashode. U usporedbi sa prethodnom godinom, materijalni rashodi su povećani. Unutar materijalnih rashoda pojedine stavke su smanjene, dok su neke povećane ali u konačnici sveukupno su veći u odnosu na prethodnu godinu najvećim dijelom zbog promjena cijena na tržištu</w:t>
      </w:r>
      <w:r w:rsidR="00547699">
        <w:rPr>
          <w:rFonts w:ascii="Arial" w:hAnsi="Arial" w:cs="Arial"/>
          <w:sz w:val="22"/>
        </w:rPr>
        <w:t>,</w:t>
      </w:r>
      <w:r w:rsidR="00547699" w:rsidRPr="00547699">
        <w:t xml:space="preserve"> </w:t>
      </w:r>
      <w:r w:rsidR="00547699" w:rsidRPr="00547699">
        <w:rPr>
          <w:rFonts w:ascii="Arial" w:hAnsi="Arial" w:cs="Arial"/>
          <w:sz w:val="22"/>
        </w:rPr>
        <w:t xml:space="preserve">ali sveukupno su manji </w:t>
      </w:r>
      <w:r w:rsidR="007F08B8">
        <w:rPr>
          <w:rFonts w:ascii="Arial" w:hAnsi="Arial" w:cs="Arial"/>
          <w:sz w:val="22"/>
        </w:rPr>
        <w:t>u odnosu na</w:t>
      </w:r>
      <w:r w:rsidR="00547699" w:rsidRPr="00547699">
        <w:rPr>
          <w:rFonts w:ascii="Arial" w:hAnsi="Arial" w:cs="Arial"/>
          <w:sz w:val="22"/>
        </w:rPr>
        <w:t xml:space="preserve"> </w:t>
      </w:r>
      <w:r w:rsidR="00547699">
        <w:rPr>
          <w:rFonts w:ascii="Arial" w:hAnsi="Arial" w:cs="Arial"/>
          <w:sz w:val="22"/>
        </w:rPr>
        <w:t>planiran</w:t>
      </w:r>
      <w:r w:rsidR="007F08B8">
        <w:rPr>
          <w:rFonts w:ascii="Arial" w:hAnsi="Arial" w:cs="Arial"/>
          <w:sz w:val="22"/>
        </w:rPr>
        <w:t>e</w:t>
      </w:r>
      <w:r w:rsidR="00547699" w:rsidRPr="00547699">
        <w:rPr>
          <w:rFonts w:ascii="Arial" w:hAnsi="Arial" w:cs="Arial"/>
          <w:sz w:val="22"/>
        </w:rPr>
        <w:t xml:space="preserve"> zahvaljujući mjerama štednje i racionalizacije.</w:t>
      </w:r>
    </w:p>
    <w:p w14:paraId="26EB907C" w14:textId="24A49CD7" w:rsidR="002C51BC" w:rsidRPr="002C51BC" w:rsidRDefault="002C51BC" w:rsidP="002A0990">
      <w:pPr>
        <w:ind w:firstLine="284"/>
        <w:jc w:val="both"/>
        <w:rPr>
          <w:rFonts w:ascii="Arial" w:hAnsi="Arial" w:cs="Arial"/>
          <w:color w:val="000000" w:themeColor="text1"/>
          <w:sz w:val="22"/>
        </w:rPr>
      </w:pPr>
      <w:r w:rsidRPr="002C51BC">
        <w:rPr>
          <w:rFonts w:ascii="Arial" w:hAnsi="Arial" w:cs="Arial"/>
          <w:b/>
          <w:bCs/>
          <w:i/>
          <w:iCs/>
          <w:sz w:val="22"/>
        </w:rPr>
        <w:t>34 Financijski rashodi</w:t>
      </w:r>
      <w:r w:rsidRPr="002C51BC">
        <w:rPr>
          <w:rFonts w:ascii="Arial" w:hAnsi="Arial" w:cs="Arial"/>
          <w:b/>
          <w:bCs/>
          <w:sz w:val="22"/>
        </w:rPr>
        <w:t xml:space="preserve"> </w:t>
      </w:r>
      <w:r w:rsidRPr="002C51BC">
        <w:rPr>
          <w:rFonts w:ascii="Arial" w:hAnsi="Arial" w:cs="Arial"/>
          <w:sz w:val="22"/>
        </w:rPr>
        <w:t xml:space="preserve">ostvareni su u iznosu od </w:t>
      </w:r>
      <w:r w:rsidR="00547699">
        <w:rPr>
          <w:rFonts w:ascii="Arial" w:hAnsi="Arial" w:cs="Arial"/>
          <w:sz w:val="22"/>
        </w:rPr>
        <w:t>305,19</w:t>
      </w:r>
      <w:r w:rsidRPr="002C51BC">
        <w:rPr>
          <w:rFonts w:ascii="Arial" w:hAnsi="Arial" w:cs="Arial"/>
          <w:sz w:val="22"/>
        </w:rPr>
        <w:t xml:space="preserve"> eura, odnosno </w:t>
      </w:r>
      <w:r w:rsidR="00547699">
        <w:rPr>
          <w:rFonts w:ascii="Arial" w:hAnsi="Arial" w:cs="Arial"/>
          <w:sz w:val="22"/>
        </w:rPr>
        <w:t>84,1</w:t>
      </w:r>
      <w:r w:rsidRPr="002C51BC">
        <w:rPr>
          <w:rFonts w:ascii="Arial" w:hAnsi="Arial" w:cs="Arial"/>
          <w:sz w:val="22"/>
        </w:rPr>
        <w:t xml:space="preserve">% plana. U odnosu na prethodnu godinu su </w:t>
      </w:r>
      <w:r w:rsidR="00547699">
        <w:rPr>
          <w:rFonts w:ascii="Arial" w:hAnsi="Arial" w:cs="Arial"/>
          <w:sz w:val="22"/>
        </w:rPr>
        <w:t>veći,</w:t>
      </w:r>
      <w:r w:rsidR="00D45990">
        <w:rPr>
          <w:rFonts w:ascii="Arial" w:hAnsi="Arial" w:cs="Arial"/>
          <w:sz w:val="22"/>
        </w:rPr>
        <w:t xml:space="preserve"> a odnose se na </w:t>
      </w:r>
      <w:r w:rsidR="00D45990">
        <w:rPr>
          <w:rFonts w:ascii="Arial" w:hAnsi="Arial" w:cs="Arial"/>
          <w:color w:val="000000" w:themeColor="text1"/>
          <w:sz w:val="22"/>
        </w:rPr>
        <w:t xml:space="preserve">trošak </w:t>
      </w:r>
      <w:r w:rsidRPr="002C51BC">
        <w:rPr>
          <w:rFonts w:ascii="Arial" w:hAnsi="Arial" w:cs="Arial"/>
          <w:color w:val="000000" w:themeColor="text1"/>
          <w:sz w:val="22"/>
        </w:rPr>
        <w:t xml:space="preserve"> bankarske usluge </w:t>
      </w:r>
      <w:r w:rsidR="00D45990">
        <w:rPr>
          <w:rFonts w:ascii="Arial" w:hAnsi="Arial" w:cs="Arial"/>
          <w:color w:val="000000" w:themeColor="text1"/>
          <w:sz w:val="22"/>
        </w:rPr>
        <w:t>i platnog prometa.</w:t>
      </w:r>
    </w:p>
    <w:p w14:paraId="3612B3F3" w14:textId="4E07EFE2" w:rsidR="002C51BC" w:rsidRPr="002C51BC" w:rsidRDefault="002C51BC" w:rsidP="002C51BC">
      <w:pPr>
        <w:ind w:firstLine="284"/>
        <w:jc w:val="both"/>
        <w:rPr>
          <w:rFonts w:ascii="Arial" w:hAnsi="Arial" w:cs="Arial"/>
          <w:b/>
          <w:bCs/>
          <w:sz w:val="22"/>
        </w:rPr>
      </w:pPr>
      <w:r w:rsidRPr="002C51BC">
        <w:rPr>
          <w:rFonts w:ascii="Arial" w:hAnsi="Arial" w:cs="Arial"/>
          <w:b/>
          <w:bCs/>
          <w:color w:val="000000" w:themeColor="text1"/>
          <w:sz w:val="22"/>
        </w:rPr>
        <w:t xml:space="preserve">4 – Ukupno ostvareni rashodi za nabavu nefinancijske imovine iznose </w:t>
      </w:r>
      <w:r w:rsidR="00547699">
        <w:rPr>
          <w:rFonts w:ascii="Arial" w:hAnsi="Arial" w:cs="Arial"/>
          <w:b/>
          <w:bCs/>
          <w:color w:val="000000" w:themeColor="text1"/>
          <w:sz w:val="22"/>
        </w:rPr>
        <w:t>3.126,12</w:t>
      </w:r>
      <w:r w:rsidRPr="002C51BC">
        <w:rPr>
          <w:rFonts w:ascii="Arial" w:hAnsi="Arial" w:cs="Arial"/>
          <w:b/>
          <w:bCs/>
          <w:color w:val="000000" w:themeColor="text1"/>
          <w:sz w:val="22"/>
        </w:rPr>
        <w:t xml:space="preserve"> eura.</w:t>
      </w:r>
    </w:p>
    <w:p w14:paraId="068E2F06" w14:textId="181404DC" w:rsidR="002C51BC" w:rsidRPr="002C51BC" w:rsidRDefault="002C51BC" w:rsidP="002C51BC">
      <w:pPr>
        <w:ind w:firstLine="284"/>
        <w:jc w:val="both"/>
        <w:rPr>
          <w:rFonts w:ascii="Arial" w:hAnsi="Arial" w:cs="Arial"/>
          <w:color w:val="000000" w:themeColor="text1"/>
          <w:sz w:val="22"/>
        </w:rPr>
      </w:pPr>
      <w:r w:rsidRPr="002C51BC">
        <w:rPr>
          <w:rFonts w:ascii="Arial" w:hAnsi="Arial" w:cs="Arial"/>
          <w:b/>
          <w:bCs/>
          <w:i/>
          <w:iCs/>
          <w:sz w:val="22"/>
        </w:rPr>
        <w:t>42 Rashodi za nabavu nefinancijske imovine</w:t>
      </w:r>
      <w:r w:rsidRPr="002C51BC">
        <w:rPr>
          <w:rFonts w:ascii="Arial" w:hAnsi="Arial" w:cs="Arial"/>
          <w:b/>
          <w:bCs/>
          <w:sz w:val="22"/>
        </w:rPr>
        <w:t xml:space="preserve"> </w:t>
      </w:r>
      <w:r w:rsidRPr="002C51BC">
        <w:rPr>
          <w:rFonts w:ascii="Arial" w:hAnsi="Arial" w:cs="Arial"/>
          <w:sz w:val="22"/>
        </w:rPr>
        <w:t xml:space="preserve">ostvareni su u iznosu od </w:t>
      </w:r>
      <w:r w:rsidR="00547699">
        <w:rPr>
          <w:rFonts w:ascii="Arial" w:hAnsi="Arial" w:cs="Arial"/>
          <w:sz w:val="22"/>
        </w:rPr>
        <w:t>3.126,12</w:t>
      </w:r>
      <w:r w:rsidRPr="002C51BC">
        <w:rPr>
          <w:rFonts w:ascii="Arial" w:hAnsi="Arial" w:cs="Arial"/>
          <w:sz w:val="22"/>
        </w:rPr>
        <w:t xml:space="preserve"> eura, odnosno </w:t>
      </w:r>
      <w:r w:rsidR="00547699">
        <w:rPr>
          <w:rFonts w:ascii="Arial" w:hAnsi="Arial" w:cs="Arial"/>
          <w:sz w:val="22"/>
        </w:rPr>
        <w:t>96,7</w:t>
      </w:r>
      <w:r w:rsidR="00117B68">
        <w:rPr>
          <w:rFonts w:ascii="Arial" w:hAnsi="Arial" w:cs="Arial"/>
          <w:sz w:val="22"/>
        </w:rPr>
        <w:t xml:space="preserve"> %</w:t>
      </w:r>
      <w:r w:rsidRPr="002C51BC">
        <w:rPr>
          <w:rFonts w:ascii="Arial" w:hAnsi="Arial" w:cs="Arial"/>
          <w:sz w:val="22"/>
        </w:rPr>
        <w:t xml:space="preserve"> od plana. </w:t>
      </w:r>
      <w:r w:rsidRPr="002C51BC">
        <w:rPr>
          <w:rFonts w:ascii="Arial" w:hAnsi="Arial" w:cs="Arial"/>
          <w:color w:val="000000" w:themeColor="text1"/>
          <w:sz w:val="22"/>
        </w:rPr>
        <w:t>U ovoj godini na</w:t>
      </w:r>
      <w:r w:rsidR="00117B68">
        <w:rPr>
          <w:rFonts w:ascii="Arial" w:hAnsi="Arial" w:cs="Arial"/>
          <w:color w:val="000000" w:themeColor="text1"/>
          <w:sz w:val="22"/>
        </w:rPr>
        <w:t>stavljeno je s uređenjem tematskih staza Putevima kontrabanda te opremanjem Interpretacijskog centra Vlaški puti</w:t>
      </w:r>
      <w:r w:rsidRPr="002C51BC">
        <w:rPr>
          <w:rFonts w:ascii="Arial" w:hAnsi="Arial" w:cs="Arial"/>
          <w:color w:val="000000" w:themeColor="text1"/>
          <w:sz w:val="22"/>
        </w:rPr>
        <w:t>. U odnosu na prethodnu godinu</w:t>
      </w:r>
      <w:r w:rsidR="00117B68">
        <w:rPr>
          <w:rFonts w:ascii="Arial" w:hAnsi="Arial" w:cs="Arial"/>
          <w:color w:val="000000" w:themeColor="text1"/>
          <w:sz w:val="22"/>
        </w:rPr>
        <w:t xml:space="preserve"> rashodi su veći za </w:t>
      </w:r>
      <w:r w:rsidR="00547699">
        <w:rPr>
          <w:rFonts w:ascii="Arial" w:hAnsi="Arial" w:cs="Arial"/>
          <w:color w:val="000000" w:themeColor="text1"/>
          <w:sz w:val="22"/>
        </w:rPr>
        <w:t>8,3</w:t>
      </w:r>
      <w:r w:rsidR="00117B68">
        <w:rPr>
          <w:rFonts w:ascii="Arial" w:hAnsi="Arial" w:cs="Arial"/>
          <w:color w:val="000000" w:themeColor="text1"/>
          <w:sz w:val="22"/>
        </w:rPr>
        <w:t xml:space="preserve"> %</w:t>
      </w:r>
      <w:r w:rsidRPr="002C51BC">
        <w:rPr>
          <w:rFonts w:ascii="Arial" w:hAnsi="Arial" w:cs="Arial"/>
          <w:color w:val="000000" w:themeColor="text1"/>
          <w:sz w:val="22"/>
        </w:rPr>
        <w:t>.</w:t>
      </w:r>
      <w:r w:rsidR="004554B2">
        <w:rPr>
          <w:rFonts w:ascii="Arial" w:hAnsi="Arial" w:cs="Arial"/>
          <w:color w:val="000000" w:themeColor="text1"/>
          <w:sz w:val="22"/>
        </w:rPr>
        <w:t xml:space="preserve"> </w:t>
      </w:r>
    </w:p>
    <w:p w14:paraId="5299159E" w14:textId="77777777" w:rsidR="002A0990" w:rsidRDefault="002A0990" w:rsidP="00547699">
      <w:pPr>
        <w:pStyle w:val="Bezproreda"/>
        <w:shd w:val="clear" w:color="auto" w:fill="FFFFFF" w:themeFill="background1"/>
      </w:pPr>
    </w:p>
    <w:p w14:paraId="0B3E341D" w14:textId="77777777" w:rsidR="00725D97" w:rsidRPr="00A508B7" w:rsidRDefault="00725D97" w:rsidP="00725D97">
      <w:pPr>
        <w:jc w:val="both"/>
        <w:rPr>
          <w:rFonts w:ascii="Arial" w:hAnsi="Arial" w:cs="Arial"/>
          <w:sz w:val="20"/>
          <w:szCs w:val="20"/>
        </w:rPr>
      </w:pPr>
    </w:p>
    <w:p w14:paraId="6C620058" w14:textId="6875630D" w:rsidR="00725D97" w:rsidRPr="00A508B7" w:rsidRDefault="000141B5" w:rsidP="00725D97">
      <w:pPr>
        <w:spacing w:line="259" w:lineRule="auto"/>
        <w:jc w:val="both"/>
        <w:rPr>
          <w:rFonts w:ascii="Arial" w:hAnsi="Arial" w:cs="Arial"/>
          <w:b/>
          <w:bCs/>
          <w:szCs w:val="24"/>
        </w:rPr>
      </w:pPr>
      <w:r w:rsidRPr="008F25F2">
        <w:rPr>
          <w:rFonts w:ascii="Arial" w:hAnsi="Arial" w:cs="Arial"/>
          <w:b/>
          <w:bCs/>
          <w:szCs w:val="24"/>
        </w:rPr>
        <w:t xml:space="preserve">3.2. </w:t>
      </w:r>
      <w:r w:rsidR="00725D97" w:rsidRPr="008F25F2">
        <w:rPr>
          <w:rFonts w:ascii="Arial" w:hAnsi="Arial" w:cs="Arial"/>
          <w:b/>
          <w:bCs/>
          <w:szCs w:val="24"/>
        </w:rPr>
        <w:t>Obrazloženje posebnog djela financijskog plana</w:t>
      </w:r>
    </w:p>
    <w:p w14:paraId="06B41893" w14:textId="77777777" w:rsidR="00725D97" w:rsidRPr="00A508B7" w:rsidRDefault="00725D97" w:rsidP="00725D9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D64AD34" w14:textId="18676C0C" w:rsidR="00055335" w:rsidRPr="00055335" w:rsidRDefault="004554B2" w:rsidP="00055335">
      <w:pPr>
        <w:jc w:val="both"/>
        <w:rPr>
          <w:rFonts w:ascii="Arial" w:hAnsi="Arial" w:cs="Arial"/>
          <w:sz w:val="22"/>
        </w:rPr>
      </w:pPr>
      <w:r w:rsidRPr="004554B2">
        <w:rPr>
          <w:rFonts w:ascii="Arial" w:hAnsi="Arial" w:cs="Arial"/>
          <w:sz w:val="22"/>
        </w:rPr>
        <w:t>Posebni dio izvještaja o izvršenju financijskog plana sadrži plan rashoda po programskoj i ekonomskoj klasifikaciji te izvorima financiranja.</w:t>
      </w:r>
    </w:p>
    <w:p w14:paraId="6A555AD9" w14:textId="50EF2C3C" w:rsidR="00055335" w:rsidRPr="0001040A" w:rsidRDefault="00055335" w:rsidP="00055335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2"/>
        </w:rPr>
      </w:pPr>
      <w:r w:rsidRPr="0001040A">
        <w:rPr>
          <w:rFonts w:ascii="Arial" w:eastAsia="Times New Roman" w:hAnsi="Arial" w:cs="Arial"/>
          <w:color w:val="000000"/>
          <w:sz w:val="22"/>
          <w:lang w:eastAsia="hr-HR"/>
        </w:rPr>
        <w:t>U tablici Posebni dio, Izvještaj po programskoj klasifikaciji daju se podaci o planiranim rashodima prema I. REBALANSU FINANCIJSKOG PLANA  za 202</w:t>
      </w:r>
      <w:r w:rsidR="00547699">
        <w:rPr>
          <w:rFonts w:ascii="Arial" w:eastAsia="Times New Roman" w:hAnsi="Arial" w:cs="Arial"/>
          <w:color w:val="000000"/>
          <w:sz w:val="22"/>
          <w:lang w:eastAsia="hr-HR"/>
        </w:rPr>
        <w:t>5</w:t>
      </w:r>
      <w:r w:rsidRPr="0001040A">
        <w:rPr>
          <w:rFonts w:ascii="Arial" w:eastAsia="Times New Roman" w:hAnsi="Arial" w:cs="Arial"/>
          <w:color w:val="000000"/>
          <w:sz w:val="22"/>
          <w:lang w:eastAsia="hr-HR"/>
        </w:rPr>
        <w:t>.</w:t>
      </w:r>
      <w:r w:rsidR="000022A8" w:rsidRPr="0001040A">
        <w:rPr>
          <w:rFonts w:ascii="Arial" w:eastAsia="Times New Roman" w:hAnsi="Arial" w:cs="Arial"/>
          <w:color w:val="000000"/>
          <w:sz w:val="22"/>
          <w:lang w:eastAsia="hr-HR"/>
        </w:rPr>
        <w:t>godinu</w:t>
      </w:r>
      <w:r w:rsidRPr="0001040A">
        <w:rPr>
          <w:rFonts w:ascii="Arial" w:eastAsia="Times New Roman" w:hAnsi="Arial" w:cs="Arial"/>
          <w:color w:val="000000"/>
          <w:sz w:val="22"/>
          <w:lang w:eastAsia="hr-HR"/>
        </w:rPr>
        <w:t>,  te izvršenim rashodima za 202</w:t>
      </w:r>
      <w:r w:rsidR="00547699">
        <w:rPr>
          <w:rFonts w:ascii="Arial" w:eastAsia="Times New Roman" w:hAnsi="Arial" w:cs="Arial"/>
          <w:color w:val="000000"/>
          <w:sz w:val="22"/>
          <w:lang w:eastAsia="hr-HR"/>
        </w:rPr>
        <w:t>5</w:t>
      </w:r>
      <w:r w:rsidRPr="0001040A">
        <w:rPr>
          <w:rFonts w:ascii="Arial" w:eastAsia="Times New Roman" w:hAnsi="Arial" w:cs="Arial"/>
          <w:color w:val="000000"/>
          <w:sz w:val="22"/>
          <w:lang w:eastAsia="hr-HR"/>
        </w:rPr>
        <w:t xml:space="preserve">. </w:t>
      </w:r>
      <w:r w:rsidR="000022A8" w:rsidRPr="0001040A">
        <w:rPr>
          <w:rFonts w:ascii="Arial" w:eastAsia="Times New Roman" w:hAnsi="Arial" w:cs="Arial"/>
          <w:color w:val="000000"/>
          <w:sz w:val="22"/>
          <w:lang w:eastAsia="hr-HR"/>
        </w:rPr>
        <w:t>godinu.</w:t>
      </w:r>
      <w:r w:rsidRPr="0001040A">
        <w:rPr>
          <w:rFonts w:ascii="Arial" w:eastAsia="Times New Roman" w:hAnsi="Arial" w:cs="Arial"/>
          <w:color w:val="000000"/>
          <w:sz w:val="22"/>
          <w:lang w:eastAsia="hr-HR"/>
        </w:rPr>
        <w:t xml:space="preserve"> U nastavku je obrazloženje posebnog dijela financijskog plana po programima.</w:t>
      </w:r>
    </w:p>
    <w:p w14:paraId="3D0E8FDD" w14:textId="77777777" w:rsidR="00725D97" w:rsidRDefault="00725D97" w:rsidP="00725D97">
      <w:pPr>
        <w:jc w:val="both"/>
        <w:rPr>
          <w:rFonts w:ascii="Arial" w:hAnsi="Arial" w:cs="Arial"/>
          <w:szCs w:val="24"/>
          <w:u w:val="single"/>
        </w:rPr>
      </w:pPr>
    </w:p>
    <w:p w14:paraId="6F6F4066" w14:textId="70F49FE5" w:rsidR="000022A8" w:rsidRPr="0001040A" w:rsidRDefault="000022A8" w:rsidP="000022A8">
      <w:pPr>
        <w:jc w:val="both"/>
        <w:rPr>
          <w:rFonts w:ascii="Arial" w:hAnsi="Arial" w:cs="Arial"/>
          <w:b/>
          <w:bCs/>
          <w:sz w:val="22"/>
          <w:u w:val="single"/>
          <w:lang w:val="de-DE"/>
        </w:rPr>
      </w:pPr>
      <w:r w:rsidRPr="0001040A">
        <w:rPr>
          <w:rFonts w:ascii="Arial" w:hAnsi="Arial" w:cs="Arial"/>
          <w:b/>
          <w:bCs/>
          <w:sz w:val="22"/>
          <w:u w:val="single"/>
          <w:lang w:val="de-DE"/>
        </w:rPr>
        <w:t xml:space="preserve">Program: </w:t>
      </w:r>
      <w:r w:rsidR="004972BA">
        <w:rPr>
          <w:rFonts w:ascii="Arial" w:hAnsi="Arial" w:cs="Arial"/>
          <w:b/>
          <w:bCs/>
          <w:sz w:val="22"/>
          <w:u w:val="single"/>
          <w:lang w:val="de-DE"/>
        </w:rPr>
        <w:t>A800101 Promicanje kulture</w:t>
      </w:r>
      <w:r w:rsidRPr="0001040A">
        <w:rPr>
          <w:rFonts w:ascii="Arial" w:hAnsi="Arial" w:cs="Arial"/>
          <w:b/>
          <w:bCs/>
          <w:sz w:val="22"/>
          <w:u w:val="single"/>
          <w:lang w:val="de-DE"/>
        </w:rPr>
        <w:t>_korisnik Interpretacijski centar Vlaški puti</w:t>
      </w:r>
    </w:p>
    <w:p w14:paraId="1A06793A" w14:textId="4E8E0293" w:rsidR="000022A8" w:rsidRPr="0001040A" w:rsidRDefault="000022A8" w:rsidP="000022A8">
      <w:pPr>
        <w:spacing w:line="360" w:lineRule="auto"/>
        <w:jc w:val="both"/>
        <w:rPr>
          <w:rFonts w:ascii="Arial" w:hAnsi="Arial" w:cs="Arial"/>
          <w:sz w:val="22"/>
          <w:lang w:val="de-DE"/>
        </w:rPr>
      </w:pPr>
      <w:r w:rsidRPr="0001040A">
        <w:rPr>
          <w:rFonts w:ascii="Arial" w:hAnsi="Arial" w:cs="Arial"/>
          <w:sz w:val="22"/>
          <w:lang w:val="de-DE"/>
        </w:rPr>
        <w:t>U 202</w:t>
      </w:r>
      <w:r w:rsidR="00547699">
        <w:rPr>
          <w:rFonts w:ascii="Arial" w:hAnsi="Arial" w:cs="Arial"/>
          <w:sz w:val="22"/>
          <w:lang w:val="de-DE"/>
        </w:rPr>
        <w:t>5</w:t>
      </w:r>
      <w:r w:rsidRPr="0001040A">
        <w:rPr>
          <w:rFonts w:ascii="Arial" w:hAnsi="Arial" w:cs="Arial"/>
          <w:sz w:val="22"/>
          <w:lang w:val="de-DE"/>
        </w:rPr>
        <w:t xml:space="preserve">. godini za potrebe izvršenja programa i aktivnosti javne ustanove Interpretacijski centar Vlaški puti utrošeno je ukupno </w:t>
      </w:r>
      <w:r w:rsidR="00547699">
        <w:rPr>
          <w:rFonts w:ascii="Arial" w:hAnsi="Arial" w:cs="Arial"/>
          <w:sz w:val="22"/>
          <w:lang w:val="de-DE"/>
        </w:rPr>
        <w:t>67.182,11</w:t>
      </w:r>
      <w:r w:rsidRPr="0001040A">
        <w:rPr>
          <w:rFonts w:ascii="Arial" w:hAnsi="Arial" w:cs="Arial"/>
          <w:sz w:val="22"/>
          <w:lang w:val="de-DE"/>
        </w:rPr>
        <w:t xml:space="preserve"> eura, odnosno 9</w:t>
      </w:r>
      <w:r w:rsidR="007D1C8C">
        <w:rPr>
          <w:rFonts w:ascii="Arial" w:hAnsi="Arial" w:cs="Arial"/>
          <w:sz w:val="22"/>
          <w:lang w:val="de-DE"/>
        </w:rPr>
        <w:t>2</w:t>
      </w:r>
      <w:r w:rsidRPr="0001040A">
        <w:rPr>
          <w:rFonts w:ascii="Arial" w:hAnsi="Arial" w:cs="Arial"/>
          <w:sz w:val="22"/>
          <w:lang w:val="de-DE"/>
        </w:rPr>
        <w:t>,</w:t>
      </w:r>
      <w:r w:rsidR="007D1C8C">
        <w:rPr>
          <w:rFonts w:ascii="Arial" w:hAnsi="Arial" w:cs="Arial"/>
          <w:sz w:val="22"/>
          <w:lang w:val="de-DE"/>
        </w:rPr>
        <w:t>08</w:t>
      </w:r>
      <w:r w:rsidRPr="0001040A">
        <w:rPr>
          <w:rFonts w:ascii="Arial" w:hAnsi="Arial" w:cs="Arial"/>
          <w:sz w:val="22"/>
          <w:lang w:val="de-DE"/>
        </w:rPr>
        <w:t>% plana.</w:t>
      </w:r>
    </w:p>
    <w:p w14:paraId="1D12A5CC" w14:textId="77777777" w:rsidR="000022A8" w:rsidRPr="00A508B7" w:rsidRDefault="000022A8" w:rsidP="00725D97">
      <w:pPr>
        <w:jc w:val="both"/>
        <w:rPr>
          <w:rFonts w:ascii="Arial" w:hAnsi="Arial" w:cs="Arial"/>
          <w:szCs w:val="24"/>
          <w:u w:val="single"/>
        </w:rPr>
      </w:pPr>
    </w:p>
    <w:p w14:paraId="72B1DC96" w14:textId="77777777" w:rsidR="00725D97" w:rsidRPr="0001040A" w:rsidRDefault="00725D97" w:rsidP="00725D97">
      <w:pPr>
        <w:jc w:val="both"/>
        <w:rPr>
          <w:rFonts w:ascii="Arial" w:hAnsi="Arial" w:cs="Arial"/>
          <w:b/>
          <w:bCs/>
          <w:sz w:val="22"/>
          <w:u w:val="single"/>
        </w:rPr>
      </w:pPr>
      <w:r w:rsidRPr="0001040A">
        <w:rPr>
          <w:rFonts w:ascii="Arial" w:hAnsi="Arial" w:cs="Arial"/>
          <w:b/>
          <w:bCs/>
          <w:sz w:val="22"/>
          <w:u w:val="single"/>
        </w:rPr>
        <w:t>Aktivnost : Redovna djelatnost Interpretacijskog centra Vlaški puti</w:t>
      </w:r>
    </w:p>
    <w:p w14:paraId="2C685563" w14:textId="70A4AB3A" w:rsidR="00725D97" w:rsidRPr="004554B2" w:rsidRDefault="00725D97" w:rsidP="00725D97">
      <w:pPr>
        <w:jc w:val="both"/>
        <w:rPr>
          <w:rFonts w:ascii="Arial" w:hAnsi="Arial" w:cs="Arial"/>
          <w:sz w:val="22"/>
        </w:rPr>
      </w:pPr>
      <w:r w:rsidRPr="004554B2">
        <w:rPr>
          <w:rFonts w:ascii="Arial" w:hAnsi="Arial" w:cs="Arial"/>
          <w:sz w:val="22"/>
        </w:rPr>
        <w:t xml:space="preserve">Za provođenje redovne djelatnosti Interpretacijskog centra Vlaški puti </w:t>
      </w:r>
      <w:r w:rsidR="000022A8">
        <w:rPr>
          <w:rFonts w:ascii="Arial" w:hAnsi="Arial" w:cs="Arial"/>
          <w:sz w:val="22"/>
        </w:rPr>
        <w:t xml:space="preserve"> iz izvora 1.</w:t>
      </w:r>
      <w:r w:rsidR="009C13FE">
        <w:rPr>
          <w:rFonts w:ascii="Arial" w:hAnsi="Arial" w:cs="Arial"/>
          <w:sz w:val="22"/>
        </w:rPr>
        <w:t>1</w:t>
      </w:r>
      <w:r w:rsidR="000022A8">
        <w:rPr>
          <w:rFonts w:ascii="Arial" w:hAnsi="Arial" w:cs="Arial"/>
          <w:sz w:val="22"/>
        </w:rPr>
        <w:t>.</w:t>
      </w:r>
      <w:r w:rsidR="009C13FE">
        <w:rPr>
          <w:rFonts w:ascii="Arial" w:hAnsi="Arial" w:cs="Arial"/>
          <w:sz w:val="22"/>
        </w:rPr>
        <w:t>0</w:t>
      </w:r>
      <w:r w:rsidR="0002456B">
        <w:rPr>
          <w:rFonts w:ascii="Arial" w:hAnsi="Arial" w:cs="Arial"/>
          <w:sz w:val="22"/>
        </w:rPr>
        <w:t xml:space="preserve"> nadležnog proračuna Općine Kršan </w:t>
      </w:r>
      <w:r w:rsidRPr="004554B2">
        <w:rPr>
          <w:rFonts w:ascii="Arial" w:hAnsi="Arial" w:cs="Arial"/>
          <w:sz w:val="22"/>
        </w:rPr>
        <w:t xml:space="preserve">planirani su troškovi u iznosu od </w:t>
      </w:r>
      <w:r w:rsidR="004554B2">
        <w:rPr>
          <w:rFonts w:ascii="Arial" w:hAnsi="Arial" w:cs="Arial"/>
          <w:sz w:val="22"/>
        </w:rPr>
        <w:t>5</w:t>
      </w:r>
      <w:r w:rsidR="004972BA">
        <w:rPr>
          <w:rFonts w:ascii="Arial" w:hAnsi="Arial" w:cs="Arial"/>
          <w:sz w:val="22"/>
        </w:rPr>
        <w:t xml:space="preserve">4.281,00 </w:t>
      </w:r>
      <w:r w:rsidR="00816FE6" w:rsidRPr="004554B2">
        <w:rPr>
          <w:rFonts w:ascii="Arial" w:hAnsi="Arial" w:cs="Arial"/>
          <w:sz w:val="22"/>
        </w:rPr>
        <w:t>eura</w:t>
      </w:r>
      <w:r w:rsidRPr="004554B2">
        <w:rPr>
          <w:rFonts w:ascii="Arial" w:hAnsi="Arial" w:cs="Arial"/>
          <w:sz w:val="22"/>
        </w:rPr>
        <w:t xml:space="preserve">, a utrošeno je </w:t>
      </w:r>
      <w:r w:rsidR="004972BA">
        <w:rPr>
          <w:rFonts w:ascii="Arial" w:hAnsi="Arial" w:cs="Arial"/>
          <w:sz w:val="22"/>
        </w:rPr>
        <w:t>50.005,29</w:t>
      </w:r>
      <w:r w:rsidR="00816FE6" w:rsidRPr="004554B2">
        <w:rPr>
          <w:rFonts w:ascii="Arial" w:hAnsi="Arial" w:cs="Arial"/>
          <w:sz w:val="22"/>
        </w:rPr>
        <w:t xml:space="preserve"> eura</w:t>
      </w:r>
      <w:r w:rsidRPr="004554B2">
        <w:rPr>
          <w:rFonts w:ascii="Arial" w:hAnsi="Arial" w:cs="Arial"/>
          <w:sz w:val="22"/>
        </w:rPr>
        <w:t xml:space="preserve"> ili </w:t>
      </w:r>
      <w:r w:rsidR="004972BA">
        <w:rPr>
          <w:rFonts w:ascii="Arial" w:hAnsi="Arial" w:cs="Arial"/>
          <w:sz w:val="22"/>
        </w:rPr>
        <w:t>92,12</w:t>
      </w:r>
      <w:r w:rsidRPr="004554B2">
        <w:rPr>
          <w:rFonts w:ascii="Arial" w:hAnsi="Arial" w:cs="Arial"/>
          <w:sz w:val="22"/>
        </w:rPr>
        <w:t xml:space="preserve"> % od planiranog iznosa. </w:t>
      </w:r>
    </w:p>
    <w:p w14:paraId="7D94BF09" w14:textId="18450F0A" w:rsidR="000022A8" w:rsidRPr="00721104" w:rsidRDefault="00725D97" w:rsidP="000022A8">
      <w:pPr>
        <w:jc w:val="both"/>
        <w:rPr>
          <w:rFonts w:ascii="Arial" w:hAnsi="Arial" w:cs="Arial"/>
          <w:sz w:val="22"/>
        </w:rPr>
      </w:pPr>
      <w:r w:rsidRPr="004554B2">
        <w:rPr>
          <w:rFonts w:ascii="Arial" w:hAnsi="Arial" w:cs="Arial"/>
          <w:sz w:val="22"/>
        </w:rPr>
        <w:t xml:space="preserve">Sredstva su utrošena na plaće i naknade zaposlenika, na rashode za materijal i energiju (likovni materijal, namirnice, energija, sitan inventar…), rashode za usluge (usluge telefona, pošte, komunalne usluge, računalne usluge…), ostale nespomenute rashode poslovanja. </w:t>
      </w:r>
    </w:p>
    <w:p w14:paraId="7A213D74" w14:textId="225DA376" w:rsidR="000022A8" w:rsidRDefault="000022A8" w:rsidP="000022A8">
      <w:pPr>
        <w:jc w:val="both"/>
        <w:rPr>
          <w:rFonts w:ascii="Arial" w:hAnsi="Arial" w:cs="Arial"/>
          <w:sz w:val="22"/>
          <w:lang w:val="de-DE"/>
        </w:rPr>
      </w:pPr>
      <w:r w:rsidRPr="00721104">
        <w:rPr>
          <w:rFonts w:ascii="Arial" w:hAnsi="Arial" w:cs="Arial"/>
          <w:sz w:val="22"/>
          <w:u w:val="single"/>
          <w:lang w:val="de-DE"/>
        </w:rPr>
        <w:t>Iz Izvora 4.4.</w:t>
      </w:r>
      <w:r w:rsidR="004972BA">
        <w:rPr>
          <w:rFonts w:ascii="Arial" w:hAnsi="Arial" w:cs="Arial"/>
          <w:sz w:val="22"/>
          <w:u w:val="single"/>
          <w:lang w:val="de-DE"/>
        </w:rPr>
        <w:t>1</w:t>
      </w:r>
      <w:r w:rsidR="0001040A">
        <w:rPr>
          <w:rFonts w:ascii="Arial" w:hAnsi="Arial" w:cs="Arial"/>
          <w:sz w:val="22"/>
          <w:u w:val="single"/>
          <w:lang w:val="de-DE"/>
        </w:rPr>
        <w:t xml:space="preserve"> </w:t>
      </w:r>
      <w:r w:rsidRPr="00721104">
        <w:rPr>
          <w:rFonts w:ascii="Arial" w:hAnsi="Arial" w:cs="Arial"/>
          <w:sz w:val="22"/>
          <w:u w:val="single"/>
          <w:lang w:val="de-DE"/>
        </w:rPr>
        <w:t xml:space="preserve">Prihodi za posebne namjene proračunskog korisnika </w:t>
      </w:r>
      <w:r w:rsidRPr="00721104">
        <w:rPr>
          <w:rFonts w:ascii="Arial" w:hAnsi="Arial" w:cs="Arial"/>
          <w:sz w:val="22"/>
          <w:lang w:val="de-DE"/>
        </w:rPr>
        <w:t>utrošeno je</w:t>
      </w:r>
      <w:r w:rsidR="00721104" w:rsidRPr="00721104">
        <w:rPr>
          <w:rFonts w:ascii="Arial" w:hAnsi="Arial" w:cs="Arial"/>
          <w:sz w:val="22"/>
          <w:lang w:val="de-DE"/>
        </w:rPr>
        <w:t xml:space="preserve"> </w:t>
      </w:r>
      <w:r w:rsidR="004972BA">
        <w:rPr>
          <w:rFonts w:ascii="Arial" w:hAnsi="Arial" w:cs="Arial"/>
          <w:sz w:val="22"/>
          <w:lang w:val="de-DE"/>
        </w:rPr>
        <w:t>36,59</w:t>
      </w:r>
      <w:r w:rsidR="00721104" w:rsidRPr="00721104">
        <w:rPr>
          <w:rFonts w:ascii="Arial" w:hAnsi="Arial" w:cs="Arial"/>
          <w:sz w:val="22"/>
          <w:lang w:val="de-DE"/>
        </w:rPr>
        <w:t xml:space="preserve"> % planiranih sredstava, odnosno</w:t>
      </w:r>
      <w:r w:rsidRPr="00721104">
        <w:rPr>
          <w:rFonts w:ascii="Arial" w:hAnsi="Arial" w:cs="Arial"/>
          <w:sz w:val="22"/>
          <w:lang w:val="de-DE"/>
        </w:rPr>
        <w:t xml:space="preserve"> </w:t>
      </w:r>
      <w:r w:rsidR="004972BA">
        <w:rPr>
          <w:rFonts w:ascii="Arial" w:hAnsi="Arial" w:cs="Arial"/>
          <w:sz w:val="22"/>
          <w:lang w:val="de-DE"/>
        </w:rPr>
        <w:t>587,59</w:t>
      </w:r>
      <w:r w:rsidRPr="00721104">
        <w:rPr>
          <w:rFonts w:ascii="Arial" w:hAnsi="Arial" w:cs="Arial"/>
          <w:sz w:val="22"/>
          <w:lang w:val="de-DE"/>
        </w:rPr>
        <w:t xml:space="preserve"> eura za pokrivanje materijalnih rashoda, a odnose se na rashode za uredski materijal, materijal za radionice, sitni inventar, </w:t>
      </w:r>
      <w:r w:rsidR="004972BA">
        <w:rPr>
          <w:rFonts w:ascii="Arial" w:hAnsi="Arial" w:cs="Arial"/>
          <w:sz w:val="22"/>
          <w:lang w:val="de-DE"/>
        </w:rPr>
        <w:t>službena putovanja, računalne usluge i</w:t>
      </w:r>
      <w:r w:rsidRPr="00721104">
        <w:rPr>
          <w:rFonts w:ascii="Arial" w:hAnsi="Arial" w:cs="Arial"/>
          <w:sz w:val="22"/>
          <w:lang w:val="de-DE"/>
        </w:rPr>
        <w:t xml:space="preserve"> ostali nespomenuti rashodi poslovanja (trošak reprezentacije)</w:t>
      </w:r>
      <w:r w:rsidR="00721104">
        <w:rPr>
          <w:rFonts w:ascii="Arial" w:hAnsi="Arial" w:cs="Arial"/>
          <w:sz w:val="22"/>
          <w:lang w:val="de-DE"/>
        </w:rPr>
        <w:t>.</w:t>
      </w:r>
    </w:p>
    <w:p w14:paraId="6E37DF5E" w14:textId="68B275E6" w:rsidR="000022A8" w:rsidRPr="002A0990" w:rsidRDefault="00721104" w:rsidP="00725D97">
      <w:pPr>
        <w:jc w:val="both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 xml:space="preserve">Iz izvora </w:t>
      </w:r>
      <w:r w:rsidR="004972BA">
        <w:rPr>
          <w:rFonts w:ascii="Arial" w:hAnsi="Arial" w:cs="Arial"/>
          <w:sz w:val="22"/>
          <w:lang w:val="de-DE"/>
        </w:rPr>
        <w:t>4.4.1922</w:t>
      </w:r>
      <w:r>
        <w:rPr>
          <w:rFonts w:ascii="Arial" w:hAnsi="Arial" w:cs="Arial"/>
          <w:sz w:val="22"/>
          <w:lang w:val="de-DE"/>
        </w:rPr>
        <w:t xml:space="preserve"> Prihod za posebne namjene – Višak Vlaški puti realizirano je </w:t>
      </w:r>
      <w:r w:rsidR="004972BA">
        <w:rPr>
          <w:rFonts w:ascii="Arial" w:hAnsi="Arial" w:cs="Arial"/>
          <w:sz w:val="22"/>
          <w:lang w:val="de-DE"/>
        </w:rPr>
        <w:t>320,20</w:t>
      </w:r>
      <w:r>
        <w:rPr>
          <w:rFonts w:ascii="Arial" w:hAnsi="Arial" w:cs="Arial"/>
          <w:sz w:val="22"/>
          <w:lang w:val="de-DE"/>
        </w:rPr>
        <w:t xml:space="preserve"> eura za pokrivanje trošk</w:t>
      </w:r>
      <w:r w:rsidR="0001040A">
        <w:rPr>
          <w:rFonts w:ascii="Arial" w:hAnsi="Arial" w:cs="Arial"/>
          <w:sz w:val="22"/>
          <w:lang w:val="de-DE"/>
        </w:rPr>
        <w:t>ova</w:t>
      </w:r>
      <w:r>
        <w:rPr>
          <w:rFonts w:ascii="Arial" w:hAnsi="Arial" w:cs="Arial"/>
          <w:sz w:val="22"/>
          <w:lang w:val="de-DE"/>
        </w:rPr>
        <w:t xml:space="preserve"> </w:t>
      </w:r>
      <w:r w:rsidR="004972BA">
        <w:rPr>
          <w:rFonts w:ascii="Arial" w:hAnsi="Arial" w:cs="Arial"/>
          <w:sz w:val="22"/>
          <w:lang w:val="de-DE"/>
        </w:rPr>
        <w:t>intelektualnih i osobnih usluga te službenog putovanja</w:t>
      </w:r>
      <w:r>
        <w:rPr>
          <w:rFonts w:ascii="Arial" w:hAnsi="Arial" w:cs="Arial"/>
          <w:sz w:val="22"/>
          <w:lang w:val="de-DE"/>
        </w:rPr>
        <w:t>.</w:t>
      </w:r>
    </w:p>
    <w:p w14:paraId="46FF6DC8" w14:textId="77777777" w:rsidR="00725D97" w:rsidRDefault="00725D97" w:rsidP="00725D97">
      <w:pPr>
        <w:jc w:val="both"/>
        <w:rPr>
          <w:rFonts w:ascii="Arial" w:hAnsi="Arial" w:cs="Arial"/>
          <w:sz w:val="22"/>
        </w:rPr>
      </w:pPr>
    </w:p>
    <w:p w14:paraId="4279DF88" w14:textId="77777777" w:rsidR="00845DB2" w:rsidRPr="004554B2" w:rsidRDefault="00845DB2" w:rsidP="00725D97">
      <w:pPr>
        <w:jc w:val="both"/>
        <w:rPr>
          <w:rFonts w:ascii="Arial" w:hAnsi="Arial" w:cs="Arial"/>
          <w:sz w:val="22"/>
        </w:rPr>
      </w:pPr>
    </w:p>
    <w:p w14:paraId="78364BF2" w14:textId="54DD2D24" w:rsidR="00725D97" w:rsidRPr="0001040A" w:rsidRDefault="00725D97" w:rsidP="00725D97">
      <w:pPr>
        <w:jc w:val="both"/>
        <w:rPr>
          <w:rFonts w:ascii="Arial" w:hAnsi="Arial" w:cs="Arial"/>
          <w:b/>
          <w:bCs/>
          <w:sz w:val="22"/>
          <w:u w:val="single"/>
        </w:rPr>
      </w:pPr>
      <w:r w:rsidRPr="0001040A">
        <w:rPr>
          <w:rFonts w:ascii="Arial" w:hAnsi="Arial" w:cs="Arial"/>
          <w:b/>
          <w:bCs/>
          <w:sz w:val="22"/>
          <w:u w:val="single"/>
        </w:rPr>
        <w:t>Aktivnost: Tekući projekt „Očuvajmo naš jezik i tradiciju“</w:t>
      </w:r>
    </w:p>
    <w:p w14:paraId="560C7EC5" w14:textId="52BA6C64" w:rsidR="00725D97" w:rsidRPr="004554B2" w:rsidRDefault="00725D97" w:rsidP="00725D97">
      <w:pPr>
        <w:jc w:val="both"/>
        <w:rPr>
          <w:rFonts w:ascii="Arial" w:hAnsi="Arial" w:cs="Arial"/>
          <w:sz w:val="22"/>
        </w:rPr>
      </w:pPr>
      <w:r w:rsidRPr="004554B2">
        <w:rPr>
          <w:rFonts w:ascii="Arial" w:hAnsi="Arial" w:cs="Arial"/>
          <w:sz w:val="22"/>
        </w:rPr>
        <w:t xml:space="preserve">Program Očuvajmo naš jezik i tradiciju  započet je 2021. godine u prostoru Ekomuzeja Vlaški puti </w:t>
      </w:r>
      <w:r w:rsidR="0001040A">
        <w:rPr>
          <w:rFonts w:ascii="Arial" w:hAnsi="Arial" w:cs="Arial"/>
          <w:sz w:val="22"/>
        </w:rPr>
        <w:t xml:space="preserve">te PŠ Šušnjevica i OŠ Ivan Goran Kovačić </w:t>
      </w:r>
      <w:r w:rsidRPr="004554B2">
        <w:rPr>
          <w:rFonts w:ascii="Arial" w:hAnsi="Arial" w:cs="Arial"/>
          <w:sz w:val="22"/>
        </w:rPr>
        <w:t>u suradnji s udrugom Spod Učke te OŠ Ivan Goran Kovačić, a namijenjen je školskoj  djeci od 1. do 8. razreda koja će, na holistički način, nizom prirodno povezanih aktivnosti: razgovorom, istraživanjem, radom u radionicama,  pričom, pjevanjem, filmskim i likovnim izražavanjem učiti vlaški jezik te se upoznati s lokalnom tradicijom. Provođenjem navedenih aktivnosti kontinuirano i trajno se doprinosi očuvanju lokalnoga jezika i tradicije te se stvaraju čvrsti temelji očuvanja hrvatske kulturne baštine.</w:t>
      </w:r>
    </w:p>
    <w:p w14:paraId="38682F26" w14:textId="3570C107" w:rsidR="00725D97" w:rsidRDefault="00725D97" w:rsidP="00725D97">
      <w:pPr>
        <w:jc w:val="both"/>
        <w:rPr>
          <w:rFonts w:ascii="Arial" w:hAnsi="Arial" w:cs="Arial"/>
          <w:sz w:val="22"/>
        </w:rPr>
      </w:pPr>
      <w:r w:rsidRPr="004554B2">
        <w:rPr>
          <w:rFonts w:ascii="Arial" w:hAnsi="Arial" w:cs="Arial"/>
          <w:sz w:val="22"/>
        </w:rPr>
        <w:t>Za 202</w:t>
      </w:r>
      <w:r w:rsidR="004972BA">
        <w:rPr>
          <w:rFonts w:ascii="Arial" w:hAnsi="Arial" w:cs="Arial"/>
          <w:sz w:val="22"/>
        </w:rPr>
        <w:t>5</w:t>
      </w:r>
      <w:r w:rsidRPr="004554B2">
        <w:rPr>
          <w:rFonts w:ascii="Arial" w:hAnsi="Arial" w:cs="Arial"/>
          <w:sz w:val="22"/>
        </w:rPr>
        <w:t xml:space="preserve">. godinu planirana su sredstva u iznosu od </w:t>
      </w:r>
      <w:r w:rsidR="004972BA">
        <w:rPr>
          <w:rFonts w:ascii="Arial" w:hAnsi="Arial" w:cs="Arial"/>
          <w:sz w:val="22"/>
        </w:rPr>
        <w:t>9.773,00</w:t>
      </w:r>
      <w:r w:rsidR="00816FE6" w:rsidRPr="004554B2">
        <w:rPr>
          <w:rFonts w:ascii="Arial" w:hAnsi="Arial" w:cs="Arial"/>
          <w:sz w:val="22"/>
        </w:rPr>
        <w:t xml:space="preserve"> eur</w:t>
      </w:r>
      <w:r w:rsidR="004554B2">
        <w:rPr>
          <w:rFonts w:ascii="Arial" w:hAnsi="Arial" w:cs="Arial"/>
          <w:sz w:val="22"/>
        </w:rPr>
        <w:t>a,</w:t>
      </w:r>
      <w:r w:rsidRPr="004554B2">
        <w:rPr>
          <w:rFonts w:ascii="Arial" w:hAnsi="Arial" w:cs="Arial"/>
          <w:sz w:val="22"/>
        </w:rPr>
        <w:t xml:space="preserve"> </w:t>
      </w:r>
      <w:r w:rsidR="004554B2">
        <w:rPr>
          <w:rFonts w:ascii="Arial" w:hAnsi="Arial" w:cs="Arial"/>
          <w:sz w:val="22"/>
        </w:rPr>
        <w:t xml:space="preserve">a realizirano </w:t>
      </w:r>
      <w:r w:rsidRPr="004554B2">
        <w:rPr>
          <w:rFonts w:ascii="Arial" w:hAnsi="Arial" w:cs="Arial"/>
          <w:sz w:val="22"/>
        </w:rPr>
        <w:t xml:space="preserve">je </w:t>
      </w:r>
      <w:r w:rsidR="004972BA">
        <w:rPr>
          <w:rFonts w:ascii="Arial" w:hAnsi="Arial" w:cs="Arial"/>
          <w:sz w:val="22"/>
        </w:rPr>
        <w:t>9.681,31</w:t>
      </w:r>
      <w:r w:rsidR="00816FE6" w:rsidRPr="004554B2">
        <w:rPr>
          <w:rFonts w:ascii="Arial" w:hAnsi="Arial" w:cs="Arial"/>
          <w:sz w:val="22"/>
        </w:rPr>
        <w:t xml:space="preserve"> eura</w:t>
      </w:r>
      <w:r w:rsidRPr="004554B2">
        <w:rPr>
          <w:rFonts w:ascii="Arial" w:hAnsi="Arial" w:cs="Arial"/>
          <w:sz w:val="22"/>
        </w:rPr>
        <w:t xml:space="preserve"> za naknade troškova zaposlenima i intelektualne usluge</w:t>
      </w:r>
      <w:r w:rsidR="004554B2">
        <w:rPr>
          <w:rFonts w:ascii="Arial" w:hAnsi="Arial" w:cs="Arial"/>
          <w:sz w:val="22"/>
        </w:rPr>
        <w:t xml:space="preserve">, odnosno </w:t>
      </w:r>
      <w:r w:rsidR="004972BA">
        <w:rPr>
          <w:rFonts w:ascii="Arial" w:hAnsi="Arial" w:cs="Arial"/>
          <w:sz w:val="22"/>
        </w:rPr>
        <w:t>99,06</w:t>
      </w:r>
      <w:r w:rsidR="004554B2">
        <w:rPr>
          <w:rFonts w:ascii="Arial" w:hAnsi="Arial" w:cs="Arial"/>
          <w:sz w:val="22"/>
        </w:rPr>
        <w:t xml:space="preserve"> % u odnosu na plan.</w:t>
      </w:r>
    </w:p>
    <w:p w14:paraId="17C282D4" w14:textId="68A15CA6" w:rsidR="00721104" w:rsidRPr="0002456B" w:rsidRDefault="00721104" w:rsidP="00721104">
      <w:pPr>
        <w:jc w:val="both"/>
        <w:rPr>
          <w:rFonts w:ascii="Arial" w:hAnsi="Arial" w:cs="Arial"/>
          <w:sz w:val="22"/>
          <w:lang w:val="de-DE"/>
        </w:rPr>
      </w:pPr>
      <w:r w:rsidRPr="0002456B">
        <w:rPr>
          <w:rFonts w:ascii="Arial" w:hAnsi="Arial" w:cs="Arial"/>
          <w:sz w:val="22"/>
          <w:lang w:val="de-DE"/>
        </w:rPr>
        <w:t>Sredstva su ostvarena iz sljedećih izvora:</w:t>
      </w:r>
    </w:p>
    <w:p w14:paraId="53FA3B3F" w14:textId="3B7F79EF" w:rsidR="00721104" w:rsidRDefault="00721104" w:rsidP="00721104">
      <w:pPr>
        <w:jc w:val="both"/>
        <w:rPr>
          <w:rFonts w:ascii="Arial" w:hAnsi="Arial" w:cs="Arial"/>
          <w:sz w:val="22"/>
          <w:lang w:val="de-DE"/>
        </w:rPr>
      </w:pPr>
      <w:r w:rsidRPr="0002456B">
        <w:rPr>
          <w:rFonts w:ascii="Arial" w:hAnsi="Arial" w:cs="Arial"/>
          <w:sz w:val="22"/>
          <w:u w:val="single"/>
          <w:lang w:val="de-DE"/>
        </w:rPr>
        <w:t>Izvor 1.</w:t>
      </w:r>
      <w:r w:rsidR="00F57F88">
        <w:rPr>
          <w:rFonts w:ascii="Arial" w:hAnsi="Arial" w:cs="Arial"/>
          <w:sz w:val="22"/>
          <w:u w:val="single"/>
          <w:lang w:val="de-DE"/>
        </w:rPr>
        <w:t>1</w:t>
      </w:r>
      <w:r w:rsidRPr="0002456B">
        <w:rPr>
          <w:rFonts w:ascii="Arial" w:hAnsi="Arial" w:cs="Arial"/>
          <w:sz w:val="22"/>
          <w:u w:val="single"/>
          <w:lang w:val="de-DE"/>
        </w:rPr>
        <w:t>.</w:t>
      </w:r>
      <w:r w:rsidR="00F57F88">
        <w:rPr>
          <w:rFonts w:ascii="Arial" w:hAnsi="Arial" w:cs="Arial"/>
          <w:sz w:val="22"/>
          <w:u w:val="single"/>
          <w:lang w:val="de-DE"/>
        </w:rPr>
        <w:t>0.</w:t>
      </w:r>
      <w:r w:rsidRPr="0002456B">
        <w:rPr>
          <w:rFonts w:ascii="Arial" w:hAnsi="Arial" w:cs="Arial"/>
          <w:sz w:val="22"/>
          <w:u w:val="single"/>
          <w:lang w:val="de-DE"/>
        </w:rPr>
        <w:t xml:space="preserve"> Opći prihodi i primici iz nadležnog proračuna Općine Kršan </w:t>
      </w:r>
      <w:r w:rsidR="0002456B" w:rsidRPr="0002456B">
        <w:rPr>
          <w:rFonts w:ascii="Arial" w:hAnsi="Arial" w:cs="Arial"/>
          <w:sz w:val="22"/>
          <w:u w:val="single"/>
          <w:lang w:val="de-DE"/>
        </w:rPr>
        <w:t xml:space="preserve">u iznosu od </w:t>
      </w:r>
      <w:r w:rsidR="003E4CDB">
        <w:rPr>
          <w:rFonts w:ascii="Arial" w:hAnsi="Arial" w:cs="Arial"/>
          <w:sz w:val="22"/>
          <w:lang w:val="de-DE"/>
        </w:rPr>
        <w:t>861,33</w:t>
      </w:r>
      <w:r w:rsidRPr="0002456B">
        <w:rPr>
          <w:rFonts w:ascii="Arial" w:hAnsi="Arial" w:cs="Arial"/>
          <w:sz w:val="22"/>
          <w:lang w:val="de-DE"/>
        </w:rPr>
        <w:t xml:space="preserve"> EUR odnosno </w:t>
      </w:r>
      <w:r w:rsidR="003E4CDB">
        <w:rPr>
          <w:rFonts w:ascii="Arial" w:hAnsi="Arial" w:cs="Arial"/>
          <w:sz w:val="22"/>
          <w:lang w:val="de-DE"/>
        </w:rPr>
        <w:t>99,81</w:t>
      </w:r>
      <w:r w:rsidRPr="0002456B">
        <w:rPr>
          <w:rFonts w:ascii="Arial" w:hAnsi="Arial" w:cs="Arial"/>
          <w:sz w:val="22"/>
          <w:lang w:val="de-DE"/>
        </w:rPr>
        <w:t xml:space="preserve"> % planiranih sredstava za materijalne rashode, odnosno Intelektualne usluge</w:t>
      </w:r>
    </w:p>
    <w:p w14:paraId="16415CF5" w14:textId="2DB7C2EE" w:rsidR="0002456B" w:rsidRPr="0002456B" w:rsidRDefault="0002456B" w:rsidP="00721104">
      <w:pPr>
        <w:jc w:val="both"/>
        <w:rPr>
          <w:rFonts w:ascii="Arial" w:hAnsi="Arial" w:cs="Arial"/>
          <w:sz w:val="22"/>
          <w:u w:val="single"/>
          <w:lang w:val="de-DE"/>
        </w:rPr>
      </w:pPr>
      <w:r>
        <w:rPr>
          <w:rFonts w:ascii="Arial" w:hAnsi="Arial" w:cs="Arial"/>
          <w:sz w:val="22"/>
          <w:lang w:val="de-DE"/>
        </w:rPr>
        <w:t>Izvor 4.4.1</w:t>
      </w:r>
      <w:r w:rsidR="003E4CDB">
        <w:rPr>
          <w:rFonts w:ascii="Arial" w:hAnsi="Arial" w:cs="Arial"/>
          <w:sz w:val="22"/>
          <w:lang w:val="de-DE"/>
        </w:rPr>
        <w:t>922</w:t>
      </w:r>
      <w:r>
        <w:rPr>
          <w:rFonts w:ascii="Arial" w:hAnsi="Arial" w:cs="Arial"/>
          <w:sz w:val="22"/>
          <w:lang w:val="de-DE"/>
        </w:rPr>
        <w:t xml:space="preserve"> Prihod za posebne namjene Vlaški puti </w:t>
      </w:r>
      <w:r w:rsidR="003E4CDB">
        <w:rPr>
          <w:rFonts w:ascii="Arial" w:hAnsi="Arial" w:cs="Arial"/>
          <w:sz w:val="22"/>
          <w:lang w:val="de-DE"/>
        </w:rPr>
        <w:t xml:space="preserve"> višak</w:t>
      </w:r>
      <w:r w:rsidR="007F08B8">
        <w:rPr>
          <w:rFonts w:ascii="Arial" w:hAnsi="Arial" w:cs="Arial"/>
          <w:sz w:val="22"/>
          <w:lang w:val="de-DE"/>
        </w:rPr>
        <w:t xml:space="preserve"> u</w:t>
      </w:r>
      <w:r>
        <w:rPr>
          <w:rFonts w:ascii="Arial" w:hAnsi="Arial" w:cs="Arial"/>
          <w:sz w:val="22"/>
          <w:lang w:val="de-DE"/>
        </w:rPr>
        <w:t xml:space="preserve"> iznosu od </w:t>
      </w:r>
      <w:r w:rsidR="003E4CDB">
        <w:rPr>
          <w:rFonts w:ascii="Arial" w:hAnsi="Arial" w:cs="Arial"/>
          <w:sz w:val="22"/>
          <w:lang w:val="de-DE"/>
        </w:rPr>
        <w:t>1.419,98</w:t>
      </w:r>
      <w:r>
        <w:rPr>
          <w:rFonts w:ascii="Arial" w:hAnsi="Arial" w:cs="Arial"/>
          <w:sz w:val="22"/>
          <w:lang w:val="de-DE"/>
        </w:rPr>
        <w:t xml:space="preserve"> eura odnosno </w:t>
      </w:r>
      <w:r w:rsidR="003E4CDB">
        <w:rPr>
          <w:rFonts w:ascii="Arial" w:hAnsi="Arial" w:cs="Arial"/>
          <w:sz w:val="22"/>
          <w:lang w:val="de-DE"/>
        </w:rPr>
        <w:t>94,04</w:t>
      </w:r>
      <w:r>
        <w:rPr>
          <w:rFonts w:ascii="Arial" w:hAnsi="Arial" w:cs="Arial"/>
          <w:sz w:val="22"/>
          <w:lang w:val="de-DE"/>
        </w:rPr>
        <w:t xml:space="preserve"> % planiranih sredstava za pokrivanje rashoda za plaću i doprinose za plaću za programsku djelatnost.</w:t>
      </w:r>
    </w:p>
    <w:p w14:paraId="41BFBFF2" w14:textId="6F93930E" w:rsidR="00721104" w:rsidRPr="0002456B" w:rsidRDefault="00721104" w:rsidP="00721104">
      <w:pPr>
        <w:jc w:val="both"/>
        <w:rPr>
          <w:rFonts w:ascii="Arial" w:hAnsi="Arial" w:cs="Arial"/>
          <w:sz w:val="22"/>
          <w:lang w:val="de-DE"/>
        </w:rPr>
      </w:pPr>
      <w:r w:rsidRPr="0002456B">
        <w:rPr>
          <w:rFonts w:ascii="Arial" w:hAnsi="Arial" w:cs="Arial"/>
          <w:sz w:val="22"/>
          <w:u w:val="single"/>
          <w:lang w:val="de-DE"/>
        </w:rPr>
        <w:t>Izvor 5.2.2 Tekuće pomoći iz državnog proračuna</w:t>
      </w:r>
      <w:r w:rsidRPr="0002456B">
        <w:rPr>
          <w:rFonts w:ascii="Arial" w:hAnsi="Arial" w:cs="Arial"/>
          <w:sz w:val="22"/>
          <w:lang w:val="de-DE"/>
        </w:rPr>
        <w:t xml:space="preserve"> odnose se na pomoći iz proračuna koji im nije nadležan (Ministarstvo kulture RH). Prihodi iznos</w:t>
      </w:r>
      <w:r w:rsidR="0001040A">
        <w:rPr>
          <w:rFonts w:ascii="Arial" w:hAnsi="Arial" w:cs="Arial"/>
          <w:sz w:val="22"/>
          <w:lang w:val="de-DE"/>
        </w:rPr>
        <w:t xml:space="preserve">e </w:t>
      </w:r>
      <w:r w:rsidR="003E4CDB">
        <w:rPr>
          <w:rFonts w:ascii="Arial" w:hAnsi="Arial" w:cs="Arial"/>
          <w:sz w:val="22"/>
          <w:lang w:val="de-DE"/>
        </w:rPr>
        <w:t>3.900,00</w:t>
      </w:r>
      <w:r w:rsidRPr="0002456B">
        <w:rPr>
          <w:rFonts w:ascii="Arial" w:hAnsi="Arial" w:cs="Arial"/>
          <w:sz w:val="22"/>
          <w:lang w:val="de-DE"/>
        </w:rPr>
        <w:t xml:space="preserve"> EUR, a odnose se na</w:t>
      </w:r>
      <w:r w:rsidR="0002456B" w:rsidRPr="0002456B">
        <w:rPr>
          <w:rFonts w:ascii="Arial" w:hAnsi="Arial" w:cs="Arial"/>
          <w:sz w:val="22"/>
          <w:lang w:val="de-DE"/>
        </w:rPr>
        <w:t xml:space="preserve"> rashod za plaće za programsku djelatnost te rashod za doprinose za obavezno zdravstveno osiguranje. </w:t>
      </w:r>
    </w:p>
    <w:p w14:paraId="37862492" w14:textId="361F4EC8" w:rsidR="00721104" w:rsidRPr="0002456B" w:rsidRDefault="00721104" w:rsidP="0002456B">
      <w:pPr>
        <w:jc w:val="both"/>
        <w:rPr>
          <w:rFonts w:ascii="Arial" w:hAnsi="Arial" w:cs="Arial"/>
          <w:sz w:val="22"/>
        </w:rPr>
      </w:pPr>
      <w:r w:rsidRPr="0002456B">
        <w:rPr>
          <w:rFonts w:ascii="Arial" w:hAnsi="Arial" w:cs="Arial"/>
          <w:sz w:val="22"/>
          <w:u w:val="single"/>
          <w:lang w:val="de-DE"/>
        </w:rPr>
        <w:t>Izvor 5.2. 3.Tekuće pomoći iz proračuna koji im nije nadležan</w:t>
      </w:r>
      <w:r w:rsidRPr="0002456B">
        <w:rPr>
          <w:rFonts w:ascii="Arial" w:hAnsi="Arial" w:cs="Arial"/>
          <w:sz w:val="22"/>
          <w:lang w:val="de-DE"/>
        </w:rPr>
        <w:t xml:space="preserve"> odnose se na pomoći iz proračuna Istarske županije UO za kulturu i zavičajnost. Prihod iznos</w:t>
      </w:r>
      <w:r w:rsidR="0001040A">
        <w:rPr>
          <w:rFonts w:ascii="Arial" w:hAnsi="Arial" w:cs="Arial"/>
          <w:sz w:val="22"/>
          <w:lang w:val="de-DE"/>
        </w:rPr>
        <w:t>i</w:t>
      </w:r>
      <w:r w:rsidRPr="0002456B">
        <w:rPr>
          <w:rFonts w:ascii="Arial" w:hAnsi="Arial" w:cs="Arial"/>
          <w:sz w:val="22"/>
          <w:lang w:val="de-DE"/>
        </w:rPr>
        <w:t xml:space="preserve"> 3.500,00 EUR, </w:t>
      </w:r>
      <w:r w:rsidR="0002456B" w:rsidRPr="0002456B">
        <w:rPr>
          <w:rFonts w:ascii="Arial" w:hAnsi="Arial" w:cs="Arial"/>
          <w:sz w:val="22"/>
          <w:lang w:val="de-DE"/>
        </w:rPr>
        <w:t>a odnos</w:t>
      </w:r>
      <w:r w:rsidR="0001040A">
        <w:rPr>
          <w:rFonts w:ascii="Arial" w:hAnsi="Arial" w:cs="Arial"/>
          <w:sz w:val="22"/>
          <w:lang w:val="de-DE"/>
        </w:rPr>
        <w:t>i</w:t>
      </w:r>
      <w:r w:rsidR="0002456B" w:rsidRPr="0002456B">
        <w:rPr>
          <w:rFonts w:ascii="Arial" w:hAnsi="Arial" w:cs="Arial"/>
          <w:sz w:val="22"/>
          <w:lang w:val="de-DE"/>
        </w:rPr>
        <w:t xml:space="preserve"> se na rashod za plaće za programsku djelatnost te rashod za doprinose za obavezno zdravstveno osiguranje</w:t>
      </w:r>
    </w:p>
    <w:p w14:paraId="3764E59E" w14:textId="77777777" w:rsidR="00A14C16" w:rsidRPr="004554B2" w:rsidRDefault="00A14C16" w:rsidP="00725D97">
      <w:pPr>
        <w:jc w:val="both"/>
        <w:rPr>
          <w:rFonts w:ascii="Arial" w:hAnsi="Arial" w:cs="Arial"/>
          <w:sz w:val="22"/>
        </w:rPr>
      </w:pPr>
    </w:p>
    <w:p w14:paraId="0FE587A5" w14:textId="77777777" w:rsidR="00725D97" w:rsidRPr="0001040A" w:rsidRDefault="00725D97" w:rsidP="00725D97">
      <w:pPr>
        <w:jc w:val="both"/>
        <w:rPr>
          <w:rFonts w:ascii="Arial" w:hAnsi="Arial" w:cs="Arial"/>
          <w:b/>
          <w:bCs/>
          <w:sz w:val="22"/>
          <w:u w:val="single"/>
        </w:rPr>
      </w:pPr>
      <w:r w:rsidRPr="0001040A">
        <w:rPr>
          <w:rFonts w:ascii="Arial" w:hAnsi="Arial" w:cs="Arial"/>
          <w:b/>
          <w:bCs/>
          <w:sz w:val="22"/>
          <w:u w:val="single"/>
        </w:rPr>
        <w:t>Aktivnost: Tekući projekt „</w:t>
      </w:r>
      <w:r w:rsidRPr="0001040A">
        <w:rPr>
          <w:rFonts w:ascii="Arial" w:hAnsi="Arial" w:cs="Arial"/>
          <w:b/>
          <w:bCs/>
          <w:sz w:val="22"/>
          <w:u w:val="single"/>
          <w:lang w:val="yo-NG"/>
        </w:rPr>
        <w:t>Izrada digitalnih sadržaja na istrorumunjskom (vlaškom) jeziku u svrhu promicanja i očuvanja ovog visokougroženog jezika</w:t>
      </w:r>
      <w:r w:rsidRPr="0001040A">
        <w:rPr>
          <w:rFonts w:ascii="Arial" w:hAnsi="Arial" w:cs="Arial"/>
          <w:b/>
          <w:bCs/>
          <w:sz w:val="22"/>
          <w:u w:val="single"/>
        </w:rPr>
        <w:t xml:space="preserve"> </w:t>
      </w:r>
    </w:p>
    <w:p w14:paraId="73917950" w14:textId="77777777" w:rsidR="00725D97" w:rsidRPr="004554B2" w:rsidRDefault="00725D97" w:rsidP="00725D97">
      <w:pPr>
        <w:jc w:val="both"/>
        <w:rPr>
          <w:rFonts w:ascii="Arial" w:hAnsi="Arial" w:cs="Arial"/>
          <w:sz w:val="22"/>
          <w:lang w:val="it-IT"/>
        </w:rPr>
      </w:pPr>
      <w:r w:rsidRPr="004554B2">
        <w:rPr>
          <w:rFonts w:ascii="Arial" w:hAnsi="Arial" w:cs="Arial"/>
          <w:sz w:val="22"/>
        </w:rPr>
        <w:t xml:space="preserve">Budući da  nedostaju edukativni sadržaji za učenje vlaškog (istrorumunjskog) jezika izradili su se digitalni sadržaji za učenje osnova vlaškog jezika. Za izradu digitalnih sadržaja angažirani su </w:t>
      </w:r>
      <w:r w:rsidRPr="004554B2">
        <w:rPr>
          <w:rFonts w:ascii="Arial" w:hAnsi="Arial" w:cs="Arial"/>
          <w:sz w:val="22"/>
          <w:lang w:val="yo-NG"/>
        </w:rPr>
        <w:t>zaposlenici Interpretacijskog centra Vlaški puti</w:t>
      </w:r>
      <w:r w:rsidRPr="004554B2">
        <w:rPr>
          <w:rFonts w:ascii="Arial" w:hAnsi="Arial" w:cs="Arial"/>
          <w:sz w:val="22"/>
        </w:rPr>
        <w:t xml:space="preserve"> te</w:t>
      </w:r>
      <w:r w:rsidRPr="004554B2">
        <w:rPr>
          <w:rFonts w:ascii="Arial" w:hAnsi="Arial" w:cs="Arial"/>
          <w:sz w:val="22"/>
          <w:lang w:val="yo-NG"/>
        </w:rPr>
        <w:t xml:space="preserve"> vanjski suradnici</w:t>
      </w:r>
      <w:r w:rsidRPr="004554B2">
        <w:rPr>
          <w:rFonts w:ascii="Arial" w:hAnsi="Arial" w:cs="Arial"/>
          <w:sz w:val="22"/>
        </w:rPr>
        <w:t>.</w:t>
      </w:r>
      <w:r w:rsidRPr="004554B2">
        <w:rPr>
          <w:rFonts w:ascii="Arial" w:hAnsi="Arial" w:cs="Arial"/>
          <w:sz w:val="22"/>
          <w:lang w:val="yo-NG"/>
        </w:rPr>
        <w:t xml:space="preserve"> </w:t>
      </w:r>
    </w:p>
    <w:p w14:paraId="2EE7F0FE" w14:textId="6D8A6AF5" w:rsidR="00725D97" w:rsidRDefault="00725D97" w:rsidP="00725D97">
      <w:pPr>
        <w:jc w:val="both"/>
        <w:rPr>
          <w:rFonts w:ascii="Arial" w:hAnsi="Arial" w:cs="Arial"/>
          <w:sz w:val="22"/>
        </w:rPr>
      </w:pPr>
      <w:r w:rsidRPr="004554B2">
        <w:rPr>
          <w:rFonts w:ascii="Arial" w:hAnsi="Arial" w:cs="Arial"/>
          <w:sz w:val="22"/>
        </w:rPr>
        <w:t>Za 202</w:t>
      </w:r>
      <w:r w:rsidR="003E4CDB">
        <w:rPr>
          <w:rFonts w:ascii="Arial" w:hAnsi="Arial" w:cs="Arial"/>
          <w:sz w:val="22"/>
        </w:rPr>
        <w:t>5</w:t>
      </w:r>
      <w:r w:rsidRPr="004554B2">
        <w:rPr>
          <w:rFonts w:ascii="Arial" w:hAnsi="Arial" w:cs="Arial"/>
          <w:sz w:val="22"/>
        </w:rPr>
        <w:t xml:space="preserve">. godinu planirana su sredstva u iznosu od </w:t>
      </w:r>
      <w:r w:rsidR="00816FE6" w:rsidRPr="004554B2">
        <w:rPr>
          <w:rFonts w:ascii="Arial" w:hAnsi="Arial" w:cs="Arial"/>
          <w:sz w:val="22"/>
        </w:rPr>
        <w:t>3.5</w:t>
      </w:r>
      <w:r w:rsidR="003E4CDB">
        <w:rPr>
          <w:rFonts w:ascii="Arial" w:hAnsi="Arial" w:cs="Arial"/>
          <w:sz w:val="22"/>
        </w:rPr>
        <w:t>82</w:t>
      </w:r>
      <w:r w:rsidR="00816FE6" w:rsidRPr="004554B2">
        <w:rPr>
          <w:rFonts w:ascii="Arial" w:hAnsi="Arial" w:cs="Arial"/>
          <w:sz w:val="22"/>
        </w:rPr>
        <w:t>,00 eura</w:t>
      </w:r>
      <w:r w:rsidR="004554B2">
        <w:rPr>
          <w:rFonts w:ascii="Arial" w:hAnsi="Arial" w:cs="Arial"/>
          <w:sz w:val="22"/>
        </w:rPr>
        <w:t>, a realizirano je 3.</w:t>
      </w:r>
      <w:r w:rsidR="003E4CDB">
        <w:rPr>
          <w:rFonts w:ascii="Arial" w:hAnsi="Arial" w:cs="Arial"/>
          <w:sz w:val="22"/>
        </w:rPr>
        <w:t>461,60</w:t>
      </w:r>
      <w:r w:rsidR="004554B2">
        <w:rPr>
          <w:rFonts w:ascii="Arial" w:hAnsi="Arial" w:cs="Arial"/>
          <w:sz w:val="22"/>
        </w:rPr>
        <w:t xml:space="preserve"> eura, odnosno </w:t>
      </w:r>
      <w:r w:rsidR="003E4CDB">
        <w:rPr>
          <w:rFonts w:ascii="Arial" w:hAnsi="Arial" w:cs="Arial"/>
          <w:sz w:val="22"/>
        </w:rPr>
        <w:t>96,64</w:t>
      </w:r>
      <w:r w:rsidR="004554B2">
        <w:rPr>
          <w:rFonts w:ascii="Arial" w:hAnsi="Arial" w:cs="Arial"/>
          <w:sz w:val="22"/>
        </w:rPr>
        <w:t xml:space="preserve"> % u odnosu na plan.</w:t>
      </w:r>
    </w:p>
    <w:p w14:paraId="15019860" w14:textId="24061E28" w:rsidR="00A14C16" w:rsidRPr="004554B2" w:rsidRDefault="00A14C16" w:rsidP="00725D9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Sredstva za provođenje projekta su dobivena iz izvora </w:t>
      </w:r>
      <w:r w:rsidR="003E4CDB">
        <w:rPr>
          <w:rFonts w:ascii="Arial" w:hAnsi="Arial" w:cs="Arial"/>
          <w:sz w:val="22"/>
        </w:rPr>
        <w:t xml:space="preserve">1.1.0 </w:t>
      </w:r>
      <w:r>
        <w:rPr>
          <w:rFonts w:ascii="Arial" w:hAnsi="Arial" w:cs="Arial"/>
          <w:sz w:val="22"/>
        </w:rPr>
        <w:t xml:space="preserve"> Prihodi </w:t>
      </w:r>
      <w:r w:rsidR="003E4CDB">
        <w:rPr>
          <w:rFonts w:ascii="Arial" w:hAnsi="Arial" w:cs="Arial"/>
          <w:sz w:val="22"/>
        </w:rPr>
        <w:t>i primici iz nadležnog proračuna</w:t>
      </w:r>
      <w:r>
        <w:rPr>
          <w:rFonts w:ascii="Arial" w:hAnsi="Arial" w:cs="Arial"/>
          <w:sz w:val="22"/>
        </w:rPr>
        <w:t xml:space="preserve"> za pokrivanje rashoda za intelektualne usluge u iznosu od </w:t>
      </w:r>
      <w:r w:rsidR="003E4CDB">
        <w:rPr>
          <w:rFonts w:ascii="Arial" w:hAnsi="Arial" w:cs="Arial"/>
          <w:sz w:val="22"/>
        </w:rPr>
        <w:t>211,60</w:t>
      </w:r>
      <w:r>
        <w:rPr>
          <w:rFonts w:ascii="Arial" w:hAnsi="Arial" w:cs="Arial"/>
          <w:sz w:val="22"/>
        </w:rPr>
        <w:t xml:space="preserve"> eura te  iz izvora 5.2.2. Tekuće pomoći iz državnog proračuna (Ministarstvo kulture) u iznosu od </w:t>
      </w:r>
      <w:r w:rsidR="003E4CDB">
        <w:rPr>
          <w:rFonts w:ascii="Arial" w:hAnsi="Arial" w:cs="Arial"/>
          <w:sz w:val="22"/>
        </w:rPr>
        <w:t>3.250,</w:t>
      </w:r>
      <w:r>
        <w:rPr>
          <w:rFonts w:ascii="Arial" w:hAnsi="Arial" w:cs="Arial"/>
          <w:sz w:val="22"/>
        </w:rPr>
        <w:t>00 eura za intelektualne usluge.</w:t>
      </w:r>
    </w:p>
    <w:p w14:paraId="4DB78B0B" w14:textId="7DBDFC59" w:rsidR="00A14C16" w:rsidRPr="0001040A" w:rsidRDefault="00816FE6" w:rsidP="00725D97">
      <w:pPr>
        <w:jc w:val="both"/>
        <w:rPr>
          <w:rFonts w:ascii="Arial" w:hAnsi="Arial" w:cs="Arial"/>
          <w:b/>
          <w:bCs/>
          <w:sz w:val="22"/>
          <w:u w:val="single"/>
        </w:rPr>
      </w:pPr>
      <w:r w:rsidRPr="0001040A">
        <w:rPr>
          <w:rFonts w:ascii="Arial" w:hAnsi="Arial" w:cs="Arial"/>
          <w:b/>
          <w:bCs/>
          <w:sz w:val="22"/>
          <w:u w:val="single"/>
        </w:rPr>
        <w:t>Aktivnost: Uređenje i opremanje Interpretacijskog centra V</w:t>
      </w:r>
      <w:r w:rsidR="007F08B8">
        <w:rPr>
          <w:rFonts w:ascii="Arial" w:hAnsi="Arial" w:cs="Arial"/>
          <w:b/>
          <w:bCs/>
          <w:sz w:val="22"/>
          <w:u w:val="single"/>
        </w:rPr>
        <w:t>l</w:t>
      </w:r>
      <w:r w:rsidRPr="0001040A">
        <w:rPr>
          <w:rFonts w:ascii="Arial" w:hAnsi="Arial" w:cs="Arial"/>
          <w:b/>
          <w:bCs/>
          <w:sz w:val="22"/>
          <w:u w:val="single"/>
        </w:rPr>
        <w:t>aški puti te tematskih staza Putevima kontrabanda</w:t>
      </w:r>
      <w:r w:rsidR="00A508B7" w:rsidRPr="0001040A">
        <w:rPr>
          <w:rFonts w:ascii="Arial" w:hAnsi="Arial" w:cs="Arial"/>
          <w:b/>
          <w:bCs/>
          <w:sz w:val="22"/>
          <w:u w:val="single"/>
        </w:rPr>
        <w:t xml:space="preserve">. </w:t>
      </w:r>
    </w:p>
    <w:p w14:paraId="1BC66A25" w14:textId="7AC60EAE" w:rsidR="00A14C16" w:rsidRPr="00A14C16" w:rsidRDefault="00A14C16" w:rsidP="00A14C16">
      <w:pPr>
        <w:jc w:val="both"/>
        <w:rPr>
          <w:rFonts w:ascii="Arial" w:eastAsia="Times New Roman" w:hAnsi="Arial" w:cs="Arial"/>
          <w:color w:val="333333"/>
          <w:sz w:val="22"/>
          <w:shd w:val="clear" w:color="auto" w:fill="FFFFFF"/>
          <w:lang w:val="de-DE" w:eastAsia="hr-HR"/>
        </w:rPr>
      </w:pPr>
      <w:r w:rsidRPr="00A14C16">
        <w:rPr>
          <w:rFonts w:ascii="Arial" w:eastAsia="Times New Roman" w:hAnsi="Arial" w:cs="Arial"/>
          <w:color w:val="333333"/>
          <w:sz w:val="22"/>
          <w:shd w:val="clear" w:color="auto" w:fill="FFFFFF"/>
          <w:lang w:val="de-DE" w:eastAsia="hr-HR"/>
        </w:rPr>
        <w:t>Opremanjem Interpretacijskog centra Vlaški puti te tematskih staza "Putevima kontrabanda" nastojimo povećati atraktivnost i uvesti nove sadržaje kako bi povećali broj posjetitelja i njihovo zadovoljstvo na način da se lakše i bolje mogu upoznati sa značajem kulturno</w:t>
      </w:r>
      <w:r w:rsidRPr="00A14C16">
        <w:rPr>
          <w:rFonts w:ascii="Cambria Math" w:eastAsia="Times New Roman" w:hAnsi="Cambria Math" w:cs="Cambria Math"/>
          <w:color w:val="333333"/>
          <w:sz w:val="22"/>
          <w:shd w:val="clear" w:color="auto" w:fill="FFFFFF"/>
          <w:lang w:val="de-DE" w:eastAsia="hr-HR"/>
        </w:rPr>
        <w:t>‐</w:t>
      </w:r>
      <w:r w:rsidRPr="00A14C16">
        <w:rPr>
          <w:rFonts w:ascii="Arial" w:eastAsia="Times New Roman" w:hAnsi="Arial" w:cs="Arial"/>
          <w:color w:val="333333"/>
          <w:sz w:val="22"/>
          <w:shd w:val="clear" w:color="auto" w:fill="FFFFFF"/>
          <w:lang w:val="de-DE" w:eastAsia="hr-HR"/>
        </w:rPr>
        <w:t>povijesne baštine i sadržajima koji im stoje na raspolaganju.</w:t>
      </w:r>
    </w:p>
    <w:p w14:paraId="54FA2766" w14:textId="7C86E501" w:rsidR="00A14C16" w:rsidRPr="0001040A" w:rsidRDefault="00A14C16" w:rsidP="00725D97">
      <w:pPr>
        <w:jc w:val="both"/>
        <w:rPr>
          <w:rFonts w:ascii="Arial" w:hAnsi="Arial" w:cs="Arial"/>
          <w:sz w:val="22"/>
          <w:lang w:val="de-DE"/>
        </w:rPr>
      </w:pPr>
      <w:r w:rsidRPr="0001040A">
        <w:rPr>
          <w:rFonts w:ascii="Arial" w:eastAsia="Times New Roman" w:hAnsi="Arial" w:cs="Arial"/>
          <w:color w:val="333333"/>
          <w:sz w:val="22"/>
          <w:shd w:val="clear" w:color="auto" w:fill="FFFFFF"/>
          <w:lang w:val="de-DE" w:eastAsia="hr-HR"/>
        </w:rPr>
        <w:t>Za 202</w:t>
      </w:r>
      <w:r w:rsidR="003E4CDB">
        <w:rPr>
          <w:rFonts w:ascii="Arial" w:eastAsia="Times New Roman" w:hAnsi="Arial" w:cs="Arial"/>
          <w:color w:val="333333"/>
          <w:sz w:val="22"/>
          <w:shd w:val="clear" w:color="auto" w:fill="FFFFFF"/>
          <w:lang w:val="de-DE" w:eastAsia="hr-HR"/>
        </w:rPr>
        <w:t>5</w:t>
      </w:r>
      <w:r w:rsidRPr="0001040A">
        <w:rPr>
          <w:rFonts w:ascii="Arial" w:eastAsia="Times New Roman" w:hAnsi="Arial" w:cs="Arial"/>
          <w:color w:val="333333"/>
          <w:sz w:val="22"/>
          <w:shd w:val="clear" w:color="auto" w:fill="FFFFFF"/>
          <w:lang w:val="de-DE" w:eastAsia="hr-HR"/>
        </w:rPr>
        <w:t>. godinu planirana su sredstva u iznosu od 2.</w:t>
      </w:r>
      <w:r w:rsidR="003E4CDB">
        <w:rPr>
          <w:rFonts w:ascii="Arial" w:eastAsia="Times New Roman" w:hAnsi="Arial" w:cs="Arial"/>
          <w:color w:val="333333"/>
          <w:sz w:val="22"/>
          <w:shd w:val="clear" w:color="auto" w:fill="FFFFFF"/>
          <w:lang w:val="de-DE" w:eastAsia="hr-HR"/>
        </w:rPr>
        <w:t>543</w:t>
      </w:r>
      <w:r w:rsidRPr="0001040A">
        <w:rPr>
          <w:rFonts w:ascii="Arial" w:eastAsia="Times New Roman" w:hAnsi="Arial" w:cs="Arial"/>
          <w:color w:val="333333"/>
          <w:sz w:val="22"/>
          <w:shd w:val="clear" w:color="auto" w:fill="FFFFFF"/>
          <w:lang w:val="de-DE" w:eastAsia="hr-HR"/>
        </w:rPr>
        <w:t xml:space="preserve">,00 eura, a ostvareno je </w:t>
      </w:r>
      <w:r w:rsidR="003E4CDB">
        <w:rPr>
          <w:rFonts w:ascii="Arial" w:eastAsia="Times New Roman" w:hAnsi="Arial" w:cs="Arial"/>
          <w:color w:val="333333"/>
          <w:sz w:val="22"/>
          <w:shd w:val="clear" w:color="auto" w:fill="FFFFFF"/>
          <w:lang w:val="de-DE" w:eastAsia="hr-HR"/>
        </w:rPr>
        <w:t>3.126,12</w:t>
      </w:r>
      <w:r w:rsidRPr="0001040A">
        <w:rPr>
          <w:rFonts w:ascii="Arial" w:eastAsia="Times New Roman" w:hAnsi="Arial" w:cs="Arial"/>
          <w:color w:val="333333"/>
          <w:sz w:val="22"/>
          <w:shd w:val="clear" w:color="auto" w:fill="FFFFFF"/>
          <w:lang w:val="de-DE" w:eastAsia="hr-HR"/>
        </w:rPr>
        <w:t xml:space="preserve"> eura, odnosno </w:t>
      </w:r>
      <w:r w:rsidR="003E4CDB">
        <w:rPr>
          <w:rFonts w:ascii="Arial" w:eastAsia="Times New Roman" w:hAnsi="Arial" w:cs="Arial"/>
          <w:color w:val="333333"/>
          <w:sz w:val="22"/>
          <w:shd w:val="clear" w:color="auto" w:fill="FFFFFF"/>
          <w:lang w:val="de-DE" w:eastAsia="hr-HR"/>
        </w:rPr>
        <w:t>122,93</w:t>
      </w:r>
      <w:r w:rsidRPr="0001040A">
        <w:rPr>
          <w:rFonts w:ascii="Arial" w:eastAsia="Times New Roman" w:hAnsi="Arial" w:cs="Arial"/>
          <w:color w:val="333333"/>
          <w:sz w:val="22"/>
          <w:shd w:val="clear" w:color="auto" w:fill="FFFFFF"/>
          <w:lang w:val="de-DE" w:eastAsia="hr-HR"/>
        </w:rPr>
        <w:t xml:space="preserve"> </w:t>
      </w:r>
      <w:r w:rsidRPr="0001040A">
        <w:rPr>
          <w:rFonts w:ascii="Arial" w:hAnsi="Arial" w:cs="Arial"/>
          <w:sz w:val="22"/>
          <w:lang w:val="de-DE"/>
        </w:rPr>
        <w:t>%.</w:t>
      </w:r>
    </w:p>
    <w:p w14:paraId="620C9D05" w14:textId="69DADA84" w:rsidR="00A508B7" w:rsidRDefault="003E4CDB" w:rsidP="00725D9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</w:t>
      </w:r>
      <w:r w:rsidR="00A508B7" w:rsidRPr="004554B2">
        <w:rPr>
          <w:rFonts w:ascii="Arial" w:hAnsi="Arial" w:cs="Arial"/>
          <w:sz w:val="22"/>
        </w:rPr>
        <w:t xml:space="preserve"> Istarske županije odobrena su sredstva za navedeni projekt </w:t>
      </w:r>
      <w:r w:rsidR="00A14C16">
        <w:rPr>
          <w:rFonts w:ascii="Arial" w:hAnsi="Arial" w:cs="Arial"/>
          <w:sz w:val="22"/>
        </w:rPr>
        <w:t xml:space="preserve">u iznosu od </w:t>
      </w:r>
      <w:r>
        <w:rPr>
          <w:rFonts w:ascii="Arial" w:hAnsi="Arial" w:cs="Arial"/>
          <w:sz w:val="22"/>
        </w:rPr>
        <w:t>2.606,61</w:t>
      </w:r>
      <w:r w:rsidR="00A14C16">
        <w:rPr>
          <w:rFonts w:ascii="Arial" w:hAnsi="Arial" w:cs="Arial"/>
          <w:sz w:val="22"/>
        </w:rPr>
        <w:t xml:space="preserve"> eura (Izvor 5.4.3.) te iz nadležnog proračuna 1.</w:t>
      </w:r>
      <w:r>
        <w:rPr>
          <w:rFonts w:ascii="Arial" w:hAnsi="Arial" w:cs="Arial"/>
          <w:sz w:val="22"/>
        </w:rPr>
        <w:t>1</w:t>
      </w:r>
      <w:r w:rsidR="00A14C16">
        <w:rPr>
          <w:rFonts w:ascii="Arial" w:hAnsi="Arial" w:cs="Arial"/>
          <w:sz w:val="22"/>
        </w:rPr>
        <w:t xml:space="preserve">.0 u iznosu od </w:t>
      </w:r>
      <w:r>
        <w:rPr>
          <w:rFonts w:ascii="Arial" w:hAnsi="Arial" w:cs="Arial"/>
          <w:sz w:val="22"/>
        </w:rPr>
        <w:t>519,51</w:t>
      </w:r>
      <w:r w:rsidR="00A14C16">
        <w:rPr>
          <w:rFonts w:ascii="Arial" w:hAnsi="Arial" w:cs="Arial"/>
          <w:sz w:val="22"/>
        </w:rPr>
        <w:t xml:space="preserve"> eura.</w:t>
      </w:r>
    </w:p>
    <w:p w14:paraId="618CA6D4" w14:textId="77777777" w:rsidR="00CD23A2" w:rsidRDefault="00CD23A2" w:rsidP="00725D97">
      <w:pPr>
        <w:jc w:val="both"/>
        <w:rPr>
          <w:rFonts w:ascii="Arial" w:hAnsi="Arial" w:cs="Arial"/>
          <w:sz w:val="22"/>
          <w:u w:val="single"/>
        </w:rPr>
      </w:pPr>
    </w:p>
    <w:p w14:paraId="04D2E791" w14:textId="77777777" w:rsidR="008B0D10" w:rsidRDefault="008B0D10" w:rsidP="00725D97">
      <w:pPr>
        <w:jc w:val="both"/>
        <w:rPr>
          <w:rFonts w:ascii="Arial" w:hAnsi="Arial" w:cs="Arial"/>
          <w:sz w:val="22"/>
          <w:u w:val="single"/>
        </w:rPr>
      </w:pPr>
    </w:p>
    <w:p w14:paraId="6B4170DF" w14:textId="77777777" w:rsidR="008B0D10" w:rsidRDefault="008B0D10" w:rsidP="00725D97">
      <w:pPr>
        <w:jc w:val="both"/>
        <w:rPr>
          <w:rFonts w:ascii="Arial" w:hAnsi="Arial" w:cs="Arial"/>
          <w:sz w:val="22"/>
          <w:u w:val="single"/>
        </w:rPr>
      </w:pPr>
    </w:p>
    <w:p w14:paraId="715E4755" w14:textId="77777777" w:rsidR="008B0D10" w:rsidRDefault="008B0D10" w:rsidP="00725D97">
      <w:pPr>
        <w:jc w:val="both"/>
        <w:rPr>
          <w:rFonts w:ascii="Arial" w:hAnsi="Arial" w:cs="Arial"/>
          <w:sz w:val="22"/>
          <w:u w:val="single"/>
        </w:rPr>
      </w:pPr>
    </w:p>
    <w:p w14:paraId="5B55C5E5" w14:textId="77777777" w:rsidR="008B0D10" w:rsidRDefault="008B0D10" w:rsidP="00725D97">
      <w:pPr>
        <w:jc w:val="both"/>
        <w:rPr>
          <w:rFonts w:ascii="Arial" w:hAnsi="Arial" w:cs="Arial"/>
          <w:sz w:val="22"/>
          <w:u w:val="single"/>
        </w:rPr>
      </w:pPr>
    </w:p>
    <w:p w14:paraId="020A51AC" w14:textId="77777777" w:rsidR="008B0D10" w:rsidRDefault="008B0D10" w:rsidP="00725D97">
      <w:pPr>
        <w:jc w:val="both"/>
        <w:rPr>
          <w:rFonts w:ascii="Arial" w:hAnsi="Arial" w:cs="Arial"/>
          <w:sz w:val="22"/>
          <w:u w:val="single"/>
        </w:rPr>
      </w:pPr>
    </w:p>
    <w:p w14:paraId="56D70838" w14:textId="77777777" w:rsidR="008B0D10" w:rsidRPr="004554B2" w:rsidRDefault="008B0D10" w:rsidP="00725D97">
      <w:pPr>
        <w:jc w:val="both"/>
        <w:rPr>
          <w:rFonts w:ascii="Arial" w:hAnsi="Arial" w:cs="Arial"/>
          <w:sz w:val="22"/>
          <w:u w:val="single"/>
        </w:rPr>
      </w:pPr>
    </w:p>
    <w:p w14:paraId="29E2AFDE" w14:textId="77777777" w:rsidR="00725D97" w:rsidRPr="004554B2" w:rsidRDefault="00725D97" w:rsidP="00725D97">
      <w:pPr>
        <w:jc w:val="both"/>
        <w:rPr>
          <w:rFonts w:ascii="Arial" w:hAnsi="Arial" w:cs="Arial"/>
          <w:color w:val="FF0000"/>
          <w:sz w:val="22"/>
        </w:rPr>
      </w:pPr>
    </w:p>
    <w:p w14:paraId="5F7BD383" w14:textId="76D21B03" w:rsidR="00E30AF0" w:rsidRPr="009A46D5" w:rsidRDefault="00E30AF0" w:rsidP="00E30AF0">
      <w:pPr>
        <w:pStyle w:val="Odlomakpopisa"/>
        <w:numPr>
          <w:ilvl w:val="0"/>
          <w:numId w:val="17"/>
        </w:numPr>
        <w:spacing w:line="259" w:lineRule="auto"/>
        <w:jc w:val="both"/>
        <w:rPr>
          <w:rFonts w:ascii="Arial" w:hAnsi="Arial" w:cs="Arial"/>
          <w:b/>
          <w:bCs/>
          <w:szCs w:val="24"/>
        </w:rPr>
      </w:pPr>
      <w:r w:rsidRPr="009A46D5">
        <w:rPr>
          <w:rFonts w:ascii="Arial" w:hAnsi="Arial" w:cs="Arial"/>
          <w:b/>
          <w:bCs/>
          <w:szCs w:val="24"/>
        </w:rPr>
        <w:t>POSEBNI IZVJEŠTAJI GODIŠNJEG IZVJEŠTAJA O IZVRŠENJU FINANCIJSKOG PLANA</w:t>
      </w:r>
    </w:p>
    <w:p w14:paraId="2C6E243B" w14:textId="77777777" w:rsidR="00E30AF0" w:rsidRPr="00EE2AE5" w:rsidRDefault="00E30AF0" w:rsidP="00E30AF0">
      <w:pPr>
        <w:pStyle w:val="Odlomakpopisa"/>
        <w:ind w:left="360"/>
        <w:jc w:val="both"/>
        <w:rPr>
          <w:rFonts w:ascii="Arial" w:hAnsi="Arial" w:cs="Arial"/>
          <w:sz w:val="20"/>
          <w:szCs w:val="20"/>
        </w:rPr>
      </w:pPr>
    </w:p>
    <w:p w14:paraId="1870A488" w14:textId="77777777" w:rsidR="00E30AF0" w:rsidRPr="00E30AF0" w:rsidRDefault="00E30AF0" w:rsidP="00E30AF0">
      <w:pPr>
        <w:pStyle w:val="Odlomakpopisa"/>
        <w:numPr>
          <w:ilvl w:val="1"/>
          <w:numId w:val="17"/>
        </w:numPr>
        <w:spacing w:line="259" w:lineRule="auto"/>
        <w:jc w:val="both"/>
        <w:rPr>
          <w:rFonts w:ascii="Arial" w:hAnsi="Arial" w:cs="Arial"/>
          <w:b/>
          <w:bCs/>
          <w:szCs w:val="24"/>
        </w:rPr>
      </w:pPr>
      <w:r w:rsidRPr="00E30AF0">
        <w:rPr>
          <w:rFonts w:ascii="Arial" w:hAnsi="Arial" w:cs="Arial"/>
          <w:b/>
          <w:bCs/>
          <w:szCs w:val="24"/>
        </w:rPr>
        <w:t>Izvještaj o zaduživanju na domaćem i stranom tržištu novca i kapitala</w:t>
      </w:r>
    </w:p>
    <w:p w14:paraId="75AE50ED" w14:textId="0AE7D17E" w:rsidR="006F1261" w:rsidRDefault="006F1261" w:rsidP="006F1261">
      <w:pPr>
        <w:jc w:val="both"/>
        <w:rPr>
          <w:rFonts w:ascii="Arial" w:hAnsi="Arial" w:cs="Arial"/>
          <w:sz w:val="22"/>
        </w:rPr>
      </w:pPr>
      <w:r w:rsidRPr="004554B2">
        <w:rPr>
          <w:rFonts w:ascii="Arial" w:hAnsi="Arial" w:cs="Arial"/>
          <w:sz w:val="22"/>
        </w:rPr>
        <w:t>Interpretacijski centar Vlaški puti u razdoblju od 01. siječnja 202</w:t>
      </w:r>
      <w:r w:rsidR="00CD23A2">
        <w:rPr>
          <w:rFonts w:ascii="Arial" w:hAnsi="Arial" w:cs="Arial"/>
          <w:sz w:val="22"/>
        </w:rPr>
        <w:t>5</w:t>
      </w:r>
      <w:r w:rsidRPr="004554B2">
        <w:rPr>
          <w:rFonts w:ascii="Arial" w:hAnsi="Arial" w:cs="Arial"/>
          <w:sz w:val="22"/>
        </w:rPr>
        <w:t>. do 3</w:t>
      </w:r>
      <w:r w:rsidR="00A14C16">
        <w:rPr>
          <w:rFonts w:ascii="Arial" w:hAnsi="Arial" w:cs="Arial"/>
          <w:sz w:val="22"/>
        </w:rPr>
        <w:t>1</w:t>
      </w:r>
      <w:r w:rsidRPr="004554B2">
        <w:rPr>
          <w:rFonts w:ascii="Arial" w:hAnsi="Arial" w:cs="Arial"/>
          <w:sz w:val="22"/>
        </w:rPr>
        <w:t xml:space="preserve">. </w:t>
      </w:r>
      <w:r w:rsidR="00A14C16">
        <w:rPr>
          <w:rFonts w:ascii="Arial" w:hAnsi="Arial" w:cs="Arial"/>
          <w:sz w:val="22"/>
        </w:rPr>
        <w:t>prosinca</w:t>
      </w:r>
      <w:r w:rsidRPr="004554B2">
        <w:rPr>
          <w:rFonts w:ascii="Arial" w:hAnsi="Arial" w:cs="Arial"/>
          <w:sz w:val="22"/>
        </w:rPr>
        <w:t xml:space="preserve"> 202</w:t>
      </w:r>
      <w:r w:rsidR="00CD23A2">
        <w:rPr>
          <w:rFonts w:ascii="Arial" w:hAnsi="Arial" w:cs="Arial"/>
          <w:sz w:val="22"/>
        </w:rPr>
        <w:t>5</w:t>
      </w:r>
      <w:r w:rsidRPr="004554B2">
        <w:rPr>
          <w:rFonts w:ascii="Arial" w:hAnsi="Arial" w:cs="Arial"/>
          <w:sz w:val="22"/>
        </w:rPr>
        <w:t>. godine nije se zaduživao na domaćem niti stranom tržištu novca i kapitala, kao ni u prijašnjim godinama, tako da nema iskazanih obveza.</w:t>
      </w:r>
    </w:p>
    <w:p w14:paraId="3596EE62" w14:textId="1D95DC56" w:rsidR="006C0867" w:rsidRPr="002A0990" w:rsidRDefault="006C0867" w:rsidP="002A0990">
      <w:pPr>
        <w:pStyle w:val="Odlomakpopisa"/>
        <w:numPr>
          <w:ilvl w:val="1"/>
          <w:numId w:val="17"/>
        </w:numPr>
        <w:spacing w:line="259" w:lineRule="auto"/>
        <w:jc w:val="both"/>
        <w:rPr>
          <w:rFonts w:ascii="Arial" w:hAnsi="Arial" w:cs="Arial"/>
          <w:b/>
          <w:bCs/>
          <w:szCs w:val="24"/>
        </w:rPr>
      </w:pPr>
      <w:r w:rsidRPr="002A0990">
        <w:rPr>
          <w:rFonts w:ascii="Arial" w:hAnsi="Arial" w:cs="Arial"/>
          <w:b/>
          <w:bCs/>
          <w:szCs w:val="24"/>
        </w:rPr>
        <w:t xml:space="preserve">Izvještaj o korištenju sredstava fondova Europske unije </w:t>
      </w:r>
    </w:p>
    <w:p w14:paraId="7A43EDAE" w14:textId="6FE1CDDF" w:rsidR="006C0867" w:rsidRPr="006C0867" w:rsidRDefault="006C0867" w:rsidP="006C0867">
      <w:pPr>
        <w:jc w:val="both"/>
        <w:rPr>
          <w:rFonts w:ascii="Arial" w:hAnsi="Arial" w:cs="Arial"/>
          <w:sz w:val="22"/>
        </w:rPr>
      </w:pPr>
      <w:r w:rsidRPr="006C0867">
        <w:rPr>
          <w:rFonts w:ascii="Arial" w:hAnsi="Arial" w:cs="Arial"/>
          <w:sz w:val="22"/>
        </w:rPr>
        <w:t xml:space="preserve">  Interpretacijski centar Vlaški puti u razdoblju od 01. siječnja 202</w:t>
      </w:r>
      <w:r w:rsidR="00CD23A2">
        <w:rPr>
          <w:rFonts w:ascii="Arial" w:hAnsi="Arial" w:cs="Arial"/>
          <w:sz w:val="22"/>
        </w:rPr>
        <w:t>5</w:t>
      </w:r>
      <w:r w:rsidRPr="006C0867">
        <w:rPr>
          <w:rFonts w:ascii="Arial" w:hAnsi="Arial" w:cs="Arial"/>
          <w:sz w:val="22"/>
        </w:rPr>
        <w:t>. do 31. prosinca 202</w:t>
      </w:r>
      <w:r w:rsidR="00CD23A2">
        <w:rPr>
          <w:rFonts w:ascii="Arial" w:hAnsi="Arial" w:cs="Arial"/>
          <w:sz w:val="22"/>
        </w:rPr>
        <w:t>5</w:t>
      </w:r>
      <w:r w:rsidRPr="006C0867">
        <w:rPr>
          <w:rFonts w:ascii="Arial" w:hAnsi="Arial" w:cs="Arial"/>
          <w:sz w:val="22"/>
        </w:rPr>
        <w:t>. godine nije koristio sredstva fondova EU.</w:t>
      </w:r>
    </w:p>
    <w:p w14:paraId="1B022260" w14:textId="0A41B1C0" w:rsidR="006C0867" w:rsidRPr="00B46CB3" w:rsidRDefault="00B46CB3" w:rsidP="00B46CB3">
      <w:pPr>
        <w:spacing w:line="259" w:lineRule="auto"/>
        <w:ind w:left="72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4.3. </w:t>
      </w:r>
      <w:r w:rsidR="002A0990">
        <w:rPr>
          <w:rFonts w:ascii="Arial" w:hAnsi="Arial" w:cs="Arial"/>
          <w:b/>
          <w:bCs/>
          <w:szCs w:val="24"/>
        </w:rPr>
        <w:tab/>
      </w:r>
      <w:r w:rsidR="006C0867" w:rsidRPr="00B46CB3">
        <w:rPr>
          <w:rFonts w:ascii="Arial" w:hAnsi="Arial" w:cs="Arial"/>
          <w:b/>
          <w:bCs/>
          <w:szCs w:val="24"/>
        </w:rPr>
        <w:t>Izvještaj o danim zajmovima i potraživanjima po danim zajmovima</w:t>
      </w:r>
    </w:p>
    <w:p w14:paraId="3BED8196" w14:textId="144885D1" w:rsidR="006C0867" w:rsidRDefault="006C0867" w:rsidP="006C0867">
      <w:pPr>
        <w:jc w:val="both"/>
        <w:rPr>
          <w:rFonts w:ascii="Arial" w:hAnsi="Arial" w:cs="Arial"/>
          <w:sz w:val="22"/>
        </w:rPr>
      </w:pPr>
      <w:r w:rsidRPr="006C0867">
        <w:rPr>
          <w:rFonts w:ascii="Arial" w:hAnsi="Arial" w:cs="Arial"/>
          <w:sz w:val="22"/>
        </w:rPr>
        <w:t xml:space="preserve">  Interpretacijski centar Vlaški puti u razdoblju od 01. siječnja 202</w:t>
      </w:r>
      <w:r w:rsidR="00CD23A2">
        <w:rPr>
          <w:rFonts w:ascii="Arial" w:hAnsi="Arial" w:cs="Arial"/>
          <w:sz w:val="22"/>
        </w:rPr>
        <w:t>5</w:t>
      </w:r>
      <w:r w:rsidRPr="006C0867">
        <w:rPr>
          <w:rFonts w:ascii="Arial" w:hAnsi="Arial" w:cs="Arial"/>
          <w:sz w:val="22"/>
        </w:rPr>
        <w:t>. do 31. prosinca 202</w:t>
      </w:r>
      <w:r w:rsidR="00CD23A2">
        <w:rPr>
          <w:rFonts w:ascii="Arial" w:hAnsi="Arial" w:cs="Arial"/>
          <w:sz w:val="22"/>
        </w:rPr>
        <w:t>5</w:t>
      </w:r>
      <w:r w:rsidRPr="006C0867">
        <w:rPr>
          <w:rFonts w:ascii="Arial" w:hAnsi="Arial" w:cs="Arial"/>
          <w:sz w:val="22"/>
        </w:rPr>
        <w:t>. godine nije davao zajmove, kao ni u prijašnjim godinama, tako da nema iskazanih potraživanja.</w:t>
      </w:r>
    </w:p>
    <w:p w14:paraId="7958BED0" w14:textId="77777777" w:rsidR="002A0990" w:rsidRPr="006C0867" w:rsidRDefault="002A0990" w:rsidP="006C0867">
      <w:pPr>
        <w:jc w:val="both"/>
        <w:rPr>
          <w:rFonts w:ascii="Arial" w:hAnsi="Arial" w:cs="Arial"/>
          <w:sz w:val="22"/>
        </w:rPr>
      </w:pPr>
    </w:p>
    <w:p w14:paraId="5AD96903" w14:textId="118056DE" w:rsidR="00CD23A2" w:rsidRPr="00CD23A2" w:rsidRDefault="006C0867" w:rsidP="00CD23A2">
      <w:pPr>
        <w:pStyle w:val="Odlomakpopisa"/>
        <w:numPr>
          <w:ilvl w:val="1"/>
          <w:numId w:val="20"/>
        </w:numPr>
        <w:spacing w:line="259" w:lineRule="auto"/>
        <w:jc w:val="both"/>
        <w:rPr>
          <w:rFonts w:ascii="Arial" w:hAnsi="Arial" w:cs="Arial"/>
          <w:b/>
          <w:bCs/>
          <w:szCs w:val="24"/>
        </w:rPr>
      </w:pPr>
      <w:r w:rsidRPr="00B46CB3">
        <w:rPr>
          <w:rFonts w:ascii="Arial" w:hAnsi="Arial" w:cs="Arial"/>
          <w:b/>
          <w:bCs/>
          <w:szCs w:val="24"/>
        </w:rPr>
        <w:t>Izvještaj o stanju potraživanja i dospjelih obveza te o stanju potencijalnih obveza po osnovi sudskih sporova</w:t>
      </w:r>
    </w:p>
    <w:p w14:paraId="579D5864" w14:textId="6D8B6485" w:rsidR="006C0867" w:rsidRDefault="006C0867" w:rsidP="006C0867">
      <w:pPr>
        <w:jc w:val="both"/>
        <w:rPr>
          <w:rFonts w:ascii="Arial" w:hAnsi="Arial" w:cs="Arial"/>
          <w:sz w:val="22"/>
        </w:rPr>
      </w:pPr>
      <w:r w:rsidRPr="006C0867">
        <w:rPr>
          <w:rFonts w:ascii="Arial" w:hAnsi="Arial" w:cs="Arial"/>
          <w:b/>
          <w:bCs/>
          <w:sz w:val="22"/>
        </w:rPr>
        <w:t xml:space="preserve">   </w:t>
      </w:r>
      <w:r w:rsidRPr="006C0867">
        <w:rPr>
          <w:rFonts w:ascii="Arial" w:hAnsi="Arial" w:cs="Arial"/>
          <w:sz w:val="22"/>
        </w:rPr>
        <w:t xml:space="preserve">     Interpretacijski centar Vlaški puti u razdoblju od 01. siječnja 202</w:t>
      </w:r>
      <w:r w:rsidR="00CD23A2">
        <w:rPr>
          <w:rFonts w:ascii="Arial" w:hAnsi="Arial" w:cs="Arial"/>
          <w:sz w:val="22"/>
        </w:rPr>
        <w:t>5</w:t>
      </w:r>
      <w:r w:rsidRPr="006C0867">
        <w:rPr>
          <w:rFonts w:ascii="Arial" w:hAnsi="Arial" w:cs="Arial"/>
          <w:sz w:val="22"/>
        </w:rPr>
        <w:t>. do 31. prosinca 202</w:t>
      </w:r>
      <w:r w:rsidR="00CD23A2">
        <w:rPr>
          <w:rFonts w:ascii="Arial" w:hAnsi="Arial" w:cs="Arial"/>
          <w:sz w:val="22"/>
        </w:rPr>
        <w:t>5</w:t>
      </w:r>
      <w:r w:rsidRPr="006C0867">
        <w:rPr>
          <w:rFonts w:ascii="Arial" w:hAnsi="Arial" w:cs="Arial"/>
          <w:sz w:val="22"/>
        </w:rPr>
        <w:t>. godine nema potencijalnih obveza ni potraživanja po osnovi sudskih sporova.</w:t>
      </w:r>
    </w:p>
    <w:p w14:paraId="7576C8E5" w14:textId="45FED08D" w:rsidR="00CD23A2" w:rsidRPr="00CD23A2" w:rsidRDefault="00CD23A2" w:rsidP="00CD23A2">
      <w:pPr>
        <w:pStyle w:val="Odlomakpopisa"/>
        <w:numPr>
          <w:ilvl w:val="1"/>
          <w:numId w:val="20"/>
        </w:numPr>
        <w:jc w:val="both"/>
        <w:rPr>
          <w:rFonts w:ascii="Arial" w:hAnsi="Arial" w:cs="Arial"/>
          <w:b/>
          <w:bCs/>
          <w:sz w:val="22"/>
        </w:rPr>
      </w:pPr>
      <w:r w:rsidRPr="00CD23A2">
        <w:rPr>
          <w:rFonts w:ascii="Arial" w:hAnsi="Arial" w:cs="Arial"/>
          <w:b/>
          <w:bCs/>
          <w:sz w:val="22"/>
        </w:rPr>
        <w:t>Izvještaj o danim jamstvima i plaćanjima po protestiranim jamstvima</w:t>
      </w:r>
    </w:p>
    <w:p w14:paraId="05954D2C" w14:textId="12962EA6" w:rsidR="00A6036E" w:rsidRPr="004554B2" w:rsidRDefault="00CD23A2" w:rsidP="00A6036E">
      <w:pPr>
        <w:pStyle w:val="Bezproreda"/>
        <w:shd w:val="clear" w:color="auto" w:fill="FFFFFF" w:themeFill="background1"/>
        <w:jc w:val="left"/>
        <w:rPr>
          <w:b/>
          <w:color w:val="FF0000"/>
          <w:sz w:val="22"/>
        </w:rPr>
      </w:pPr>
      <w:r w:rsidRPr="006C0867">
        <w:rPr>
          <w:rFonts w:cs="Arial"/>
          <w:sz w:val="22"/>
        </w:rPr>
        <w:t xml:space="preserve">    Interpretacijski centar Vlaški puti u razdoblju od 01. siječnja 202</w:t>
      </w:r>
      <w:r>
        <w:rPr>
          <w:rFonts w:cs="Arial"/>
          <w:sz w:val="22"/>
        </w:rPr>
        <w:t>5</w:t>
      </w:r>
      <w:r w:rsidRPr="006C0867">
        <w:rPr>
          <w:rFonts w:cs="Arial"/>
          <w:sz w:val="22"/>
        </w:rPr>
        <w:t>. do 31. prosinca 202</w:t>
      </w:r>
      <w:r>
        <w:rPr>
          <w:rFonts w:cs="Arial"/>
          <w:sz w:val="22"/>
        </w:rPr>
        <w:t>5</w:t>
      </w:r>
      <w:r w:rsidRPr="006C0867">
        <w:rPr>
          <w:rFonts w:cs="Arial"/>
          <w:sz w:val="22"/>
        </w:rPr>
        <w:t>. godine n</w:t>
      </w:r>
      <w:r>
        <w:rPr>
          <w:rFonts w:cs="Arial"/>
          <w:sz w:val="22"/>
        </w:rPr>
        <w:t>ije davao jamstva ni plaćao po protestiranim jamstvima.</w:t>
      </w:r>
    </w:p>
    <w:p w14:paraId="4845018B" w14:textId="77777777" w:rsidR="00725D97" w:rsidRPr="004554B2" w:rsidRDefault="00725D97" w:rsidP="00725D97">
      <w:pPr>
        <w:pStyle w:val="Bezproreda"/>
        <w:shd w:val="clear" w:color="auto" w:fill="FFFFFF" w:themeFill="background1"/>
        <w:ind w:left="720"/>
        <w:jc w:val="left"/>
        <w:rPr>
          <w:sz w:val="22"/>
        </w:rPr>
      </w:pPr>
    </w:p>
    <w:p w14:paraId="54DAFB5F" w14:textId="77777777" w:rsidR="00515338" w:rsidRDefault="00515338" w:rsidP="00B46CB3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  <w:r w:rsidRPr="002A0990">
        <w:rPr>
          <w:rFonts w:ascii="Arial" w:hAnsi="Arial" w:cs="Arial"/>
          <w:b/>
          <w:bCs/>
          <w:sz w:val="22"/>
        </w:rPr>
        <w:t>Izvještaj o stanju potraživanja i obvezama</w:t>
      </w:r>
    </w:p>
    <w:p w14:paraId="57B3D61C" w14:textId="77777777" w:rsidR="00CD23A2" w:rsidRPr="002A0990" w:rsidRDefault="00CD23A2" w:rsidP="00B46CB3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</w:p>
    <w:p w14:paraId="6FEA4ECA" w14:textId="44BA6786" w:rsidR="00515338" w:rsidRPr="002A0990" w:rsidRDefault="00515338" w:rsidP="00515338">
      <w:pPr>
        <w:jc w:val="both"/>
        <w:rPr>
          <w:rFonts w:ascii="Arial" w:hAnsi="Arial" w:cs="Arial"/>
          <w:b/>
          <w:bCs/>
          <w:sz w:val="22"/>
          <w:u w:val="single"/>
        </w:rPr>
      </w:pPr>
      <w:r w:rsidRPr="002A0990">
        <w:rPr>
          <w:rFonts w:ascii="Arial" w:hAnsi="Arial" w:cs="Arial"/>
          <w:b/>
          <w:bCs/>
          <w:sz w:val="22"/>
          <w:u w:val="single"/>
        </w:rPr>
        <w:t>Tablica 1. Prikaz stanja nenaplaćenih potraživanja (dospjela i nedospjela) na dan 31.12.202</w:t>
      </w:r>
      <w:r w:rsidR="000D700D">
        <w:rPr>
          <w:rFonts w:ascii="Arial" w:hAnsi="Arial" w:cs="Arial"/>
          <w:b/>
          <w:bCs/>
          <w:sz w:val="22"/>
          <w:u w:val="single"/>
        </w:rPr>
        <w:t>5</w:t>
      </w:r>
      <w:r w:rsidRPr="002A0990">
        <w:rPr>
          <w:rFonts w:ascii="Arial" w:hAnsi="Arial" w:cs="Arial"/>
          <w:b/>
          <w:bCs/>
          <w:sz w:val="22"/>
          <w:u w:val="single"/>
        </w:rPr>
        <w:t>., a sastoji se od: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3969"/>
        <w:gridCol w:w="2835"/>
      </w:tblGrid>
      <w:tr w:rsidR="00515338" w14:paraId="4BE823D1" w14:textId="77777777" w:rsidTr="00EC43BC">
        <w:tc>
          <w:tcPr>
            <w:tcW w:w="1129" w:type="dxa"/>
          </w:tcPr>
          <w:p w14:paraId="0ADD8F13" w14:textId="77777777" w:rsidR="00515338" w:rsidRPr="002A0990" w:rsidRDefault="00515338" w:rsidP="00EC43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2A0990">
              <w:rPr>
                <w:rFonts w:ascii="Arial" w:hAnsi="Arial" w:cs="Arial"/>
                <w:b/>
                <w:bCs/>
                <w:sz w:val="22"/>
              </w:rPr>
              <w:t>Redni broj</w:t>
            </w:r>
          </w:p>
        </w:tc>
        <w:tc>
          <w:tcPr>
            <w:tcW w:w="3969" w:type="dxa"/>
          </w:tcPr>
          <w:p w14:paraId="70C690C2" w14:textId="77777777" w:rsidR="00515338" w:rsidRPr="002A0990" w:rsidRDefault="00515338" w:rsidP="00EC43B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A0990">
              <w:rPr>
                <w:rFonts w:ascii="Arial" w:hAnsi="Arial" w:cs="Arial"/>
                <w:b/>
                <w:bCs/>
                <w:sz w:val="22"/>
              </w:rPr>
              <w:t>Vrsta potraživanja</w:t>
            </w:r>
          </w:p>
        </w:tc>
        <w:tc>
          <w:tcPr>
            <w:tcW w:w="2835" w:type="dxa"/>
          </w:tcPr>
          <w:p w14:paraId="0CAC5FE9" w14:textId="46191D44" w:rsidR="00515338" w:rsidRPr="002A0990" w:rsidRDefault="00515338" w:rsidP="00EC43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2A0990">
              <w:rPr>
                <w:rFonts w:ascii="Arial" w:hAnsi="Arial" w:cs="Arial"/>
                <w:b/>
                <w:bCs/>
                <w:sz w:val="22"/>
              </w:rPr>
              <w:t>Stanje na dan 31.12.202</w:t>
            </w:r>
            <w:r w:rsidR="000D700D">
              <w:rPr>
                <w:rFonts w:ascii="Arial" w:hAnsi="Arial" w:cs="Arial"/>
                <w:b/>
                <w:bCs/>
                <w:sz w:val="22"/>
              </w:rPr>
              <w:t>5</w:t>
            </w:r>
            <w:r w:rsidRPr="002A0990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</w:tr>
      <w:tr w:rsidR="00515338" w14:paraId="08291B4B" w14:textId="77777777" w:rsidTr="00EC43BC">
        <w:tc>
          <w:tcPr>
            <w:tcW w:w="1129" w:type="dxa"/>
          </w:tcPr>
          <w:p w14:paraId="23B2EF48" w14:textId="77777777" w:rsidR="00515338" w:rsidRPr="002A0990" w:rsidRDefault="00515338" w:rsidP="00EC43BC">
            <w:pPr>
              <w:jc w:val="center"/>
              <w:rPr>
                <w:rFonts w:ascii="Arial" w:hAnsi="Arial" w:cs="Arial"/>
                <w:sz w:val="22"/>
              </w:rPr>
            </w:pPr>
            <w:r w:rsidRPr="002A0990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969" w:type="dxa"/>
          </w:tcPr>
          <w:p w14:paraId="22925548" w14:textId="77777777" w:rsidR="00515338" w:rsidRPr="002A0990" w:rsidRDefault="00515338" w:rsidP="00EC43BC">
            <w:pPr>
              <w:jc w:val="both"/>
              <w:rPr>
                <w:rFonts w:ascii="Arial" w:hAnsi="Arial" w:cs="Arial"/>
                <w:sz w:val="22"/>
              </w:rPr>
            </w:pPr>
            <w:r w:rsidRPr="002A0990">
              <w:rPr>
                <w:rFonts w:ascii="Arial" w:hAnsi="Arial" w:cs="Arial"/>
                <w:sz w:val="22"/>
              </w:rPr>
              <w:t>Potraživanja za naknade koje se refundiraju (12911) - HZZO</w:t>
            </w:r>
          </w:p>
        </w:tc>
        <w:tc>
          <w:tcPr>
            <w:tcW w:w="2835" w:type="dxa"/>
          </w:tcPr>
          <w:p w14:paraId="62DE6081" w14:textId="77777777" w:rsidR="00515338" w:rsidRPr="002A0990" w:rsidRDefault="00515338" w:rsidP="00EC43BC">
            <w:pPr>
              <w:jc w:val="right"/>
              <w:rPr>
                <w:rFonts w:ascii="Arial" w:hAnsi="Arial" w:cs="Arial"/>
                <w:sz w:val="22"/>
              </w:rPr>
            </w:pPr>
            <w:r w:rsidRPr="002A0990">
              <w:rPr>
                <w:rFonts w:ascii="Arial" w:hAnsi="Arial" w:cs="Arial"/>
                <w:sz w:val="22"/>
              </w:rPr>
              <w:t>0,00</w:t>
            </w:r>
          </w:p>
        </w:tc>
      </w:tr>
      <w:tr w:rsidR="00515338" w14:paraId="38D111A5" w14:textId="77777777" w:rsidTr="00EC43BC">
        <w:tc>
          <w:tcPr>
            <w:tcW w:w="1129" w:type="dxa"/>
          </w:tcPr>
          <w:p w14:paraId="2C08CB56" w14:textId="77777777" w:rsidR="00515338" w:rsidRPr="002A0990" w:rsidRDefault="00515338" w:rsidP="00EC43BC">
            <w:pPr>
              <w:jc w:val="center"/>
              <w:rPr>
                <w:rFonts w:ascii="Arial" w:hAnsi="Arial" w:cs="Arial"/>
                <w:sz w:val="22"/>
              </w:rPr>
            </w:pPr>
            <w:r w:rsidRPr="002A0990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969" w:type="dxa"/>
          </w:tcPr>
          <w:p w14:paraId="686D79D5" w14:textId="77777777" w:rsidR="00515338" w:rsidRPr="002A0990" w:rsidRDefault="00515338" w:rsidP="00EC43BC">
            <w:pPr>
              <w:jc w:val="both"/>
              <w:rPr>
                <w:rFonts w:ascii="Arial" w:hAnsi="Arial" w:cs="Arial"/>
                <w:sz w:val="22"/>
              </w:rPr>
            </w:pPr>
            <w:r w:rsidRPr="002A0990">
              <w:rPr>
                <w:rFonts w:ascii="Arial" w:hAnsi="Arial" w:cs="Arial"/>
                <w:sz w:val="22"/>
              </w:rPr>
              <w:t>Potraživanja za prihode po posebnim propisima (16526)</w:t>
            </w:r>
          </w:p>
        </w:tc>
        <w:tc>
          <w:tcPr>
            <w:tcW w:w="2835" w:type="dxa"/>
          </w:tcPr>
          <w:p w14:paraId="4AE7C72E" w14:textId="77777777" w:rsidR="00515338" w:rsidRPr="002A0990" w:rsidRDefault="00515338" w:rsidP="00EC43BC">
            <w:pPr>
              <w:jc w:val="right"/>
              <w:rPr>
                <w:rFonts w:ascii="Arial" w:hAnsi="Arial" w:cs="Arial"/>
                <w:sz w:val="22"/>
              </w:rPr>
            </w:pPr>
            <w:r w:rsidRPr="002A0990">
              <w:rPr>
                <w:rFonts w:ascii="Arial" w:hAnsi="Arial" w:cs="Arial"/>
                <w:sz w:val="22"/>
              </w:rPr>
              <w:t>0,00</w:t>
            </w:r>
          </w:p>
        </w:tc>
      </w:tr>
      <w:tr w:rsidR="00515338" w14:paraId="19CFB1AA" w14:textId="77777777" w:rsidTr="00EC43BC">
        <w:tc>
          <w:tcPr>
            <w:tcW w:w="1129" w:type="dxa"/>
          </w:tcPr>
          <w:p w14:paraId="479EA9ED" w14:textId="77777777" w:rsidR="00515338" w:rsidRPr="002A0990" w:rsidRDefault="00515338" w:rsidP="00EC43B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2CE9D1C6" w14:textId="77777777" w:rsidR="00515338" w:rsidRPr="002A0990" w:rsidRDefault="00515338" w:rsidP="00EC43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2A0990">
              <w:rPr>
                <w:rFonts w:ascii="Arial" w:hAnsi="Arial" w:cs="Arial"/>
                <w:b/>
                <w:bCs/>
                <w:sz w:val="22"/>
              </w:rPr>
              <w:t xml:space="preserve">Ukupna potraživanja: </w:t>
            </w:r>
          </w:p>
        </w:tc>
        <w:tc>
          <w:tcPr>
            <w:tcW w:w="2835" w:type="dxa"/>
          </w:tcPr>
          <w:p w14:paraId="21216941" w14:textId="77777777" w:rsidR="00515338" w:rsidRPr="002A0990" w:rsidRDefault="00515338" w:rsidP="00EC43BC">
            <w:pPr>
              <w:jc w:val="right"/>
              <w:rPr>
                <w:rFonts w:ascii="Arial" w:hAnsi="Arial" w:cs="Arial"/>
                <w:sz w:val="22"/>
              </w:rPr>
            </w:pPr>
            <w:r w:rsidRPr="002A0990">
              <w:rPr>
                <w:rFonts w:ascii="Arial" w:hAnsi="Arial" w:cs="Arial"/>
                <w:sz w:val="22"/>
              </w:rPr>
              <w:t>0,00</w:t>
            </w:r>
          </w:p>
        </w:tc>
      </w:tr>
    </w:tbl>
    <w:p w14:paraId="4FDF926F" w14:textId="77777777" w:rsidR="00515338" w:rsidRDefault="00515338" w:rsidP="00515338">
      <w:pPr>
        <w:jc w:val="both"/>
        <w:rPr>
          <w:rFonts w:ascii="Arial" w:hAnsi="Arial" w:cs="Arial"/>
          <w:sz w:val="20"/>
          <w:szCs w:val="20"/>
        </w:rPr>
      </w:pPr>
    </w:p>
    <w:p w14:paraId="4F0197B2" w14:textId="77777777" w:rsidR="00515338" w:rsidRDefault="00515338" w:rsidP="00515338">
      <w:pPr>
        <w:jc w:val="both"/>
        <w:rPr>
          <w:rFonts w:ascii="Arial" w:hAnsi="Arial" w:cs="Arial"/>
          <w:sz w:val="20"/>
          <w:szCs w:val="20"/>
        </w:rPr>
      </w:pPr>
    </w:p>
    <w:p w14:paraId="0B256CAC" w14:textId="45FCCAE8" w:rsidR="00515338" w:rsidRPr="002A0990" w:rsidRDefault="00515338" w:rsidP="00515338">
      <w:pPr>
        <w:jc w:val="both"/>
        <w:rPr>
          <w:rFonts w:ascii="Arial" w:hAnsi="Arial" w:cs="Arial"/>
          <w:sz w:val="22"/>
          <w:lang w:val="de-DE"/>
        </w:rPr>
      </w:pPr>
      <w:r w:rsidRPr="002A0990">
        <w:rPr>
          <w:rFonts w:ascii="Arial" w:hAnsi="Arial" w:cs="Arial"/>
          <w:sz w:val="22"/>
          <w:lang w:val="de-DE"/>
        </w:rPr>
        <w:t>Stanje financijskih sredstava na dan 31.12.202</w:t>
      </w:r>
      <w:r w:rsidR="00B91D91">
        <w:rPr>
          <w:rFonts w:ascii="Arial" w:hAnsi="Arial" w:cs="Arial"/>
          <w:sz w:val="22"/>
          <w:lang w:val="de-DE"/>
        </w:rPr>
        <w:t>5</w:t>
      </w:r>
      <w:r w:rsidRPr="002A0990">
        <w:rPr>
          <w:rFonts w:ascii="Arial" w:hAnsi="Arial" w:cs="Arial"/>
          <w:sz w:val="22"/>
          <w:lang w:val="de-DE"/>
        </w:rPr>
        <w:t xml:space="preserve">.  je </w:t>
      </w:r>
      <w:r w:rsidR="007316C5">
        <w:rPr>
          <w:rFonts w:ascii="Arial" w:hAnsi="Arial" w:cs="Arial"/>
          <w:sz w:val="22"/>
          <w:lang w:val="de-DE"/>
        </w:rPr>
        <w:t>366,06</w:t>
      </w:r>
      <w:r w:rsidRPr="002A0990">
        <w:rPr>
          <w:rFonts w:ascii="Arial" w:hAnsi="Arial" w:cs="Arial"/>
          <w:sz w:val="22"/>
          <w:lang w:val="de-DE"/>
        </w:rPr>
        <w:t xml:space="preserve"> eura od čega:</w:t>
      </w:r>
    </w:p>
    <w:p w14:paraId="35C6B044" w14:textId="33C49A12" w:rsidR="00515338" w:rsidRPr="002A0990" w:rsidRDefault="00515338" w:rsidP="00515338">
      <w:pPr>
        <w:jc w:val="both"/>
        <w:rPr>
          <w:rFonts w:ascii="Arial" w:hAnsi="Arial" w:cs="Arial"/>
          <w:sz w:val="22"/>
          <w:lang w:val="de-DE"/>
        </w:rPr>
      </w:pPr>
      <w:r w:rsidRPr="002A0990">
        <w:rPr>
          <w:rFonts w:ascii="Arial" w:hAnsi="Arial" w:cs="Arial"/>
          <w:sz w:val="22"/>
          <w:lang w:val="de-DE"/>
        </w:rPr>
        <w:t>Stanje žiro-računa 31.12.202</w:t>
      </w:r>
      <w:r w:rsidR="007316C5">
        <w:rPr>
          <w:rFonts w:ascii="Arial" w:hAnsi="Arial" w:cs="Arial"/>
          <w:sz w:val="22"/>
          <w:lang w:val="de-DE"/>
        </w:rPr>
        <w:t>5</w:t>
      </w:r>
      <w:r w:rsidRPr="002A0990">
        <w:rPr>
          <w:rFonts w:ascii="Arial" w:hAnsi="Arial" w:cs="Arial"/>
          <w:sz w:val="22"/>
          <w:lang w:val="de-DE"/>
        </w:rPr>
        <w:t xml:space="preserve">.                                 </w:t>
      </w:r>
      <w:r w:rsidR="007316C5">
        <w:rPr>
          <w:rFonts w:ascii="Arial" w:hAnsi="Arial" w:cs="Arial"/>
          <w:sz w:val="22"/>
          <w:lang w:val="de-DE"/>
        </w:rPr>
        <w:t xml:space="preserve">         </w:t>
      </w:r>
      <w:r w:rsidR="00645F37">
        <w:rPr>
          <w:rFonts w:ascii="Arial" w:hAnsi="Arial" w:cs="Arial"/>
          <w:sz w:val="22"/>
          <w:lang w:val="de-DE"/>
        </w:rPr>
        <w:t xml:space="preserve"> </w:t>
      </w:r>
      <w:r w:rsidR="007316C5">
        <w:rPr>
          <w:rFonts w:ascii="Arial" w:hAnsi="Arial" w:cs="Arial"/>
          <w:sz w:val="22"/>
          <w:lang w:val="de-DE"/>
        </w:rPr>
        <w:t>0,00</w:t>
      </w:r>
      <w:r w:rsidRPr="002A0990">
        <w:rPr>
          <w:rFonts w:ascii="Arial" w:hAnsi="Arial" w:cs="Arial"/>
          <w:sz w:val="22"/>
          <w:lang w:val="de-DE"/>
        </w:rPr>
        <w:t xml:space="preserve"> eura </w:t>
      </w:r>
    </w:p>
    <w:p w14:paraId="2264F9DF" w14:textId="45F59845" w:rsidR="00515338" w:rsidRPr="002A0990" w:rsidRDefault="00515338" w:rsidP="00515338">
      <w:pPr>
        <w:jc w:val="both"/>
        <w:rPr>
          <w:rFonts w:ascii="Arial" w:hAnsi="Arial" w:cs="Arial"/>
          <w:sz w:val="22"/>
          <w:u w:val="single"/>
          <w:lang w:val="de-DE"/>
        </w:rPr>
      </w:pPr>
      <w:r w:rsidRPr="002A0990">
        <w:rPr>
          <w:rFonts w:ascii="Arial" w:hAnsi="Arial" w:cs="Arial"/>
          <w:sz w:val="22"/>
          <w:u w:val="single"/>
          <w:lang w:val="de-DE"/>
        </w:rPr>
        <w:t>Stanje blagajne 31.12.202</w:t>
      </w:r>
      <w:r w:rsidR="00CD23A2">
        <w:rPr>
          <w:rFonts w:ascii="Arial" w:hAnsi="Arial" w:cs="Arial"/>
          <w:sz w:val="22"/>
          <w:u w:val="single"/>
          <w:lang w:val="de-DE"/>
        </w:rPr>
        <w:t>5</w:t>
      </w:r>
      <w:r w:rsidRPr="002A0990">
        <w:rPr>
          <w:rFonts w:ascii="Arial" w:hAnsi="Arial" w:cs="Arial"/>
          <w:sz w:val="22"/>
          <w:u w:val="single"/>
          <w:lang w:val="de-DE"/>
        </w:rPr>
        <w:t xml:space="preserve">.                                        </w:t>
      </w:r>
      <w:r w:rsidR="00645F37">
        <w:rPr>
          <w:rFonts w:ascii="Arial" w:hAnsi="Arial" w:cs="Arial"/>
          <w:sz w:val="22"/>
          <w:u w:val="single"/>
          <w:lang w:val="de-DE"/>
        </w:rPr>
        <w:t xml:space="preserve">  </w:t>
      </w:r>
      <w:r w:rsidRPr="002A0990">
        <w:rPr>
          <w:rFonts w:ascii="Arial" w:hAnsi="Arial" w:cs="Arial"/>
          <w:sz w:val="22"/>
          <w:u w:val="single"/>
          <w:lang w:val="de-DE"/>
        </w:rPr>
        <w:t xml:space="preserve"> </w:t>
      </w:r>
      <w:r w:rsidR="007316C5">
        <w:rPr>
          <w:rFonts w:ascii="Arial" w:hAnsi="Arial" w:cs="Arial"/>
          <w:sz w:val="22"/>
          <w:u w:val="single"/>
          <w:lang w:val="de-DE"/>
        </w:rPr>
        <w:t>366,06</w:t>
      </w:r>
      <w:r w:rsidR="006A13FB" w:rsidRPr="002A0990">
        <w:rPr>
          <w:rFonts w:ascii="Arial" w:hAnsi="Arial" w:cs="Arial"/>
          <w:sz w:val="22"/>
          <w:u w:val="single"/>
          <w:lang w:val="de-DE"/>
        </w:rPr>
        <w:t xml:space="preserve"> </w:t>
      </w:r>
      <w:r w:rsidRPr="002A0990">
        <w:rPr>
          <w:rFonts w:ascii="Arial" w:hAnsi="Arial" w:cs="Arial"/>
          <w:sz w:val="22"/>
          <w:u w:val="single"/>
          <w:lang w:val="de-DE"/>
        </w:rPr>
        <w:t xml:space="preserve">eura    </w:t>
      </w:r>
    </w:p>
    <w:p w14:paraId="38CB34DC" w14:textId="0C46ACC2" w:rsidR="00515338" w:rsidRPr="002A0990" w:rsidRDefault="00515338" w:rsidP="00515338">
      <w:pPr>
        <w:jc w:val="both"/>
        <w:rPr>
          <w:rFonts w:ascii="Arial" w:hAnsi="Arial" w:cs="Arial"/>
          <w:sz w:val="22"/>
        </w:rPr>
      </w:pPr>
      <w:r w:rsidRPr="002A0990">
        <w:rPr>
          <w:rFonts w:ascii="Arial" w:hAnsi="Arial" w:cs="Arial"/>
          <w:sz w:val="22"/>
          <w:lang w:val="de-DE"/>
        </w:rPr>
        <w:t xml:space="preserve">Ukupno stanje žiro-računa </w:t>
      </w:r>
      <w:r w:rsidR="00D8107F">
        <w:rPr>
          <w:rFonts w:ascii="Arial" w:hAnsi="Arial" w:cs="Arial"/>
          <w:sz w:val="22"/>
          <w:lang w:val="de-DE"/>
        </w:rPr>
        <w:t>i</w:t>
      </w:r>
      <w:r w:rsidRPr="002A0990">
        <w:rPr>
          <w:rFonts w:ascii="Arial" w:hAnsi="Arial" w:cs="Arial"/>
          <w:sz w:val="22"/>
          <w:lang w:val="de-DE"/>
        </w:rPr>
        <w:t xml:space="preserve"> blagajne 31.12.202</w:t>
      </w:r>
      <w:r w:rsidR="007316C5">
        <w:rPr>
          <w:rFonts w:ascii="Arial" w:hAnsi="Arial" w:cs="Arial"/>
          <w:sz w:val="22"/>
          <w:lang w:val="de-DE"/>
        </w:rPr>
        <w:t>5</w:t>
      </w:r>
      <w:r w:rsidRPr="002A0990">
        <w:rPr>
          <w:rFonts w:ascii="Arial" w:hAnsi="Arial" w:cs="Arial"/>
          <w:sz w:val="22"/>
          <w:lang w:val="de-DE"/>
        </w:rPr>
        <w:t xml:space="preserve">.  </w:t>
      </w:r>
      <w:r w:rsidRPr="002A0990">
        <w:rPr>
          <w:rFonts w:ascii="Arial" w:hAnsi="Arial" w:cs="Arial"/>
          <w:sz w:val="22"/>
        </w:rPr>
        <w:t>=</w:t>
      </w:r>
      <w:r w:rsidR="007316C5">
        <w:rPr>
          <w:rFonts w:ascii="Arial" w:hAnsi="Arial" w:cs="Arial"/>
          <w:sz w:val="22"/>
        </w:rPr>
        <w:t xml:space="preserve">   </w:t>
      </w:r>
      <w:r w:rsidR="00645F37">
        <w:rPr>
          <w:rFonts w:ascii="Arial" w:hAnsi="Arial" w:cs="Arial"/>
          <w:sz w:val="22"/>
        </w:rPr>
        <w:t xml:space="preserve">  </w:t>
      </w:r>
      <w:r w:rsidR="007316C5">
        <w:rPr>
          <w:rFonts w:ascii="Arial" w:hAnsi="Arial" w:cs="Arial"/>
          <w:sz w:val="22"/>
        </w:rPr>
        <w:t xml:space="preserve">366,06 </w:t>
      </w:r>
      <w:r w:rsidRPr="002A0990">
        <w:rPr>
          <w:rFonts w:ascii="Arial" w:hAnsi="Arial" w:cs="Arial"/>
          <w:sz w:val="22"/>
        </w:rPr>
        <w:t xml:space="preserve">eura    </w:t>
      </w:r>
    </w:p>
    <w:p w14:paraId="338C19EB" w14:textId="1857868C" w:rsidR="00CD23A2" w:rsidRDefault="00515338" w:rsidP="00515338">
      <w:pPr>
        <w:jc w:val="both"/>
        <w:rPr>
          <w:rFonts w:ascii="Arial" w:hAnsi="Arial" w:cs="Arial"/>
          <w:sz w:val="20"/>
          <w:szCs w:val="20"/>
          <w:u w:val="single"/>
        </w:rPr>
      </w:pPr>
      <w:r w:rsidRPr="00407963">
        <w:rPr>
          <w:rFonts w:ascii="Arial" w:hAnsi="Arial" w:cs="Arial"/>
          <w:sz w:val="20"/>
          <w:szCs w:val="20"/>
          <w:u w:val="single"/>
        </w:rPr>
        <w:t xml:space="preserve">                           </w:t>
      </w:r>
    </w:p>
    <w:p w14:paraId="447DDC0A" w14:textId="77777777" w:rsidR="00CD23A2" w:rsidRPr="00722A3C" w:rsidRDefault="00CD23A2" w:rsidP="00515338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DBCAE6E" w14:textId="1A8A1D3F" w:rsidR="00515338" w:rsidRPr="002A0990" w:rsidRDefault="00515338" w:rsidP="00515338">
      <w:pPr>
        <w:tabs>
          <w:tab w:val="left" w:pos="3570"/>
        </w:tabs>
        <w:jc w:val="both"/>
        <w:rPr>
          <w:rFonts w:ascii="Arial" w:hAnsi="Arial" w:cs="Arial"/>
          <w:b/>
          <w:bCs/>
          <w:sz w:val="22"/>
          <w:u w:val="single"/>
        </w:rPr>
      </w:pPr>
      <w:r w:rsidRPr="002A0990">
        <w:rPr>
          <w:rFonts w:ascii="Arial" w:hAnsi="Arial" w:cs="Arial"/>
          <w:b/>
          <w:bCs/>
          <w:sz w:val="22"/>
          <w:u w:val="single"/>
        </w:rPr>
        <w:t>Tablica 2. Obveze na dan 31.12.202</w:t>
      </w:r>
      <w:r w:rsidR="002E5AE4">
        <w:rPr>
          <w:rFonts w:ascii="Arial" w:hAnsi="Arial" w:cs="Arial"/>
          <w:b/>
          <w:bCs/>
          <w:sz w:val="22"/>
          <w:u w:val="single"/>
        </w:rPr>
        <w:t>5</w:t>
      </w:r>
      <w:r w:rsidRPr="002A0990">
        <w:rPr>
          <w:rFonts w:ascii="Arial" w:hAnsi="Arial" w:cs="Arial"/>
          <w:b/>
          <w:bCs/>
          <w:sz w:val="22"/>
          <w:u w:val="single"/>
        </w:rPr>
        <w:t>. u eurima</w:t>
      </w:r>
    </w:p>
    <w:p w14:paraId="3A7C8B80" w14:textId="77777777" w:rsidR="00515338" w:rsidRDefault="00515338" w:rsidP="00515338">
      <w:pPr>
        <w:tabs>
          <w:tab w:val="left" w:pos="3570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4110"/>
        <w:gridCol w:w="2835"/>
      </w:tblGrid>
      <w:tr w:rsidR="00515338" w:rsidRPr="00E15A4A" w14:paraId="79DE8E95" w14:textId="77777777" w:rsidTr="00EC43BC">
        <w:tc>
          <w:tcPr>
            <w:tcW w:w="988" w:type="dxa"/>
          </w:tcPr>
          <w:p w14:paraId="570089A9" w14:textId="77777777" w:rsidR="00515338" w:rsidRPr="002A0990" w:rsidRDefault="00515338" w:rsidP="00EC43BC">
            <w:pPr>
              <w:tabs>
                <w:tab w:val="left" w:pos="3570"/>
              </w:tabs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2A0990">
              <w:rPr>
                <w:rFonts w:ascii="Arial" w:hAnsi="Arial" w:cs="Arial"/>
                <w:b/>
                <w:bCs/>
                <w:sz w:val="22"/>
              </w:rPr>
              <w:t>Redni broj</w:t>
            </w:r>
          </w:p>
        </w:tc>
        <w:tc>
          <w:tcPr>
            <w:tcW w:w="4110" w:type="dxa"/>
          </w:tcPr>
          <w:p w14:paraId="4AAE0245" w14:textId="77777777" w:rsidR="00515338" w:rsidRPr="002A0990" w:rsidRDefault="00515338" w:rsidP="00EC43BC">
            <w:pPr>
              <w:tabs>
                <w:tab w:val="left" w:pos="3570"/>
              </w:tabs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2A0990">
              <w:rPr>
                <w:rFonts w:ascii="Arial" w:hAnsi="Arial" w:cs="Arial"/>
                <w:b/>
                <w:bCs/>
                <w:sz w:val="22"/>
              </w:rPr>
              <w:t>Obveze</w:t>
            </w:r>
          </w:p>
        </w:tc>
        <w:tc>
          <w:tcPr>
            <w:tcW w:w="2835" w:type="dxa"/>
          </w:tcPr>
          <w:p w14:paraId="1099DDCC" w14:textId="64167BB4" w:rsidR="00515338" w:rsidRPr="002A0990" w:rsidRDefault="00515338" w:rsidP="00EC43BC">
            <w:pPr>
              <w:tabs>
                <w:tab w:val="left" w:pos="3570"/>
              </w:tabs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2A0990">
              <w:rPr>
                <w:rFonts w:ascii="Arial" w:hAnsi="Arial" w:cs="Arial"/>
                <w:b/>
                <w:bCs/>
                <w:sz w:val="22"/>
              </w:rPr>
              <w:t>Stanje na dan 31.12.202</w:t>
            </w:r>
            <w:r w:rsidR="00CD23A2">
              <w:rPr>
                <w:rFonts w:ascii="Arial" w:hAnsi="Arial" w:cs="Arial"/>
                <w:b/>
                <w:bCs/>
                <w:sz w:val="22"/>
              </w:rPr>
              <w:t>5</w:t>
            </w:r>
            <w:r w:rsidRPr="002A0990">
              <w:rPr>
                <w:rFonts w:ascii="Arial" w:hAnsi="Arial" w:cs="Arial"/>
                <w:b/>
                <w:bCs/>
                <w:sz w:val="22"/>
              </w:rPr>
              <w:t>. u eurima</w:t>
            </w:r>
          </w:p>
        </w:tc>
      </w:tr>
      <w:tr w:rsidR="00515338" w:rsidRPr="00407963" w14:paraId="34B1E4F1" w14:textId="77777777" w:rsidTr="00EC43BC">
        <w:tc>
          <w:tcPr>
            <w:tcW w:w="988" w:type="dxa"/>
          </w:tcPr>
          <w:p w14:paraId="6A10E229" w14:textId="77777777" w:rsidR="00515338" w:rsidRPr="002A0990" w:rsidRDefault="00515338" w:rsidP="00EC43BC">
            <w:pPr>
              <w:tabs>
                <w:tab w:val="left" w:pos="3570"/>
              </w:tabs>
              <w:jc w:val="both"/>
              <w:rPr>
                <w:rFonts w:ascii="Arial" w:hAnsi="Arial" w:cs="Arial"/>
                <w:sz w:val="22"/>
              </w:rPr>
            </w:pPr>
            <w:r w:rsidRPr="002A0990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4110" w:type="dxa"/>
          </w:tcPr>
          <w:p w14:paraId="24C13ECD" w14:textId="77777777" w:rsidR="00515338" w:rsidRPr="002A0990" w:rsidRDefault="00515338" w:rsidP="00EC43BC">
            <w:pPr>
              <w:tabs>
                <w:tab w:val="left" w:pos="3570"/>
              </w:tabs>
              <w:jc w:val="both"/>
              <w:rPr>
                <w:rFonts w:ascii="Arial" w:hAnsi="Arial" w:cs="Arial"/>
                <w:sz w:val="22"/>
              </w:rPr>
            </w:pPr>
            <w:r w:rsidRPr="002A0990">
              <w:rPr>
                <w:rFonts w:ascii="Arial" w:hAnsi="Arial" w:cs="Arial"/>
                <w:sz w:val="22"/>
              </w:rPr>
              <w:t>Obveze za zaposlene (231)</w:t>
            </w:r>
          </w:p>
        </w:tc>
        <w:tc>
          <w:tcPr>
            <w:tcW w:w="2835" w:type="dxa"/>
          </w:tcPr>
          <w:p w14:paraId="2492F446" w14:textId="4FE596B0" w:rsidR="00515338" w:rsidRPr="002A0990" w:rsidRDefault="00A43226" w:rsidP="00EC43BC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3.785,06</w:t>
            </w:r>
          </w:p>
        </w:tc>
      </w:tr>
      <w:tr w:rsidR="00515338" w:rsidRPr="00407963" w14:paraId="0DA08113" w14:textId="77777777" w:rsidTr="00EC43BC">
        <w:tc>
          <w:tcPr>
            <w:tcW w:w="988" w:type="dxa"/>
          </w:tcPr>
          <w:p w14:paraId="27A8BE47" w14:textId="77777777" w:rsidR="00515338" w:rsidRPr="002A0990" w:rsidRDefault="00515338" w:rsidP="00EC43BC">
            <w:pPr>
              <w:tabs>
                <w:tab w:val="left" w:pos="3570"/>
              </w:tabs>
              <w:jc w:val="both"/>
              <w:rPr>
                <w:rFonts w:ascii="Arial" w:hAnsi="Arial" w:cs="Arial"/>
                <w:sz w:val="22"/>
              </w:rPr>
            </w:pPr>
            <w:r w:rsidRPr="002A0990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4110" w:type="dxa"/>
          </w:tcPr>
          <w:p w14:paraId="0F9883A3" w14:textId="77777777" w:rsidR="00515338" w:rsidRPr="002A0990" w:rsidRDefault="00515338" w:rsidP="00EC43BC">
            <w:pPr>
              <w:tabs>
                <w:tab w:val="left" w:pos="3570"/>
              </w:tabs>
              <w:jc w:val="both"/>
              <w:rPr>
                <w:rFonts w:ascii="Arial" w:hAnsi="Arial" w:cs="Arial"/>
                <w:sz w:val="22"/>
              </w:rPr>
            </w:pPr>
            <w:r w:rsidRPr="002A0990">
              <w:rPr>
                <w:rFonts w:ascii="Arial" w:hAnsi="Arial" w:cs="Arial"/>
                <w:sz w:val="22"/>
              </w:rPr>
              <w:t>Obveze za materijalne rashode (232)</w:t>
            </w:r>
          </w:p>
        </w:tc>
        <w:tc>
          <w:tcPr>
            <w:tcW w:w="2835" w:type="dxa"/>
          </w:tcPr>
          <w:p w14:paraId="68FEAF85" w14:textId="0005E259" w:rsidR="00515338" w:rsidRPr="002A0990" w:rsidRDefault="00A43226" w:rsidP="00EC43BC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1.337,10</w:t>
            </w:r>
          </w:p>
        </w:tc>
      </w:tr>
      <w:tr w:rsidR="00515338" w:rsidRPr="00407963" w14:paraId="17D58312" w14:textId="77777777" w:rsidTr="00EC43BC">
        <w:tc>
          <w:tcPr>
            <w:tcW w:w="988" w:type="dxa"/>
          </w:tcPr>
          <w:p w14:paraId="61845DC3" w14:textId="77777777" w:rsidR="00515338" w:rsidRPr="002A0990" w:rsidRDefault="00515338" w:rsidP="00EC43BC">
            <w:pPr>
              <w:tabs>
                <w:tab w:val="left" w:pos="357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110" w:type="dxa"/>
          </w:tcPr>
          <w:p w14:paraId="2E0DF3F5" w14:textId="1B2E2E49" w:rsidR="00515338" w:rsidRPr="002A0990" w:rsidRDefault="00515338" w:rsidP="00EC43BC">
            <w:pPr>
              <w:tabs>
                <w:tab w:val="left" w:pos="3570"/>
              </w:tabs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2A0990">
              <w:rPr>
                <w:rFonts w:ascii="Arial" w:hAnsi="Arial" w:cs="Arial"/>
                <w:b/>
                <w:bCs/>
                <w:sz w:val="22"/>
              </w:rPr>
              <w:t>Ukupno obveze:</w:t>
            </w:r>
          </w:p>
        </w:tc>
        <w:tc>
          <w:tcPr>
            <w:tcW w:w="2835" w:type="dxa"/>
          </w:tcPr>
          <w:p w14:paraId="6854C9FB" w14:textId="338E12EB" w:rsidR="00515338" w:rsidRPr="002A0990" w:rsidRDefault="00A43226" w:rsidP="00EC43BC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5.122,16</w:t>
            </w:r>
          </w:p>
        </w:tc>
      </w:tr>
    </w:tbl>
    <w:p w14:paraId="7511F7B1" w14:textId="77777777" w:rsidR="00515338" w:rsidRDefault="00515338" w:rsidP="00515338">
      <w:pPr>
        <w:tabs>
          <w:tab w:val="left" w:pos="3570"/>
        </w:tabs>
        <w:jc w:val="both"/>
        <w:rPr>
          <w:rFonts w:ascii="Arial" w:hAnsi="Arial" w:cs="Arial"/>
          <w:sz w:val="20"/>
          <w:szCs w:val="20"/>
        </w:rPr>
      </w:pPr>
    </w:p>
    <w:p w14:paraId="4D583D4E" w14:textId="3625FA73" w:rsidR="00515338" w:rsidRPr="00B46CB3" w:rsidRDefault="00515338" w:rsidP="00515338">
      <w:pPr>
        <w:ind w:firstLine="284"/>
        <w:jc w:val="both"/>
        <w:rPr>
          <w:rFonts w:ascii="Arial" w:hAnsi="Arial" w:cs="Arial"/>
          <w:b/>
          <w:bCs/>
          <w:sz w:val="22"/>
        </w:rPr>
      </w:pPr>
      <w:r w:rsidRPr="00B46CB3">
        <w:rPr>
          <w:rFonts w:ascii="Arial" w:hAnsi="Arial" w:cs="Arial"/>
          <w:sz w:val="22"/>
        </w:rPr>
        <w:t>Najvećim dijelom odnose se na obveze za plaće djelatnika čija isplata dospijeva u siječnju 202</w:t>
      </w:r>
      <w:r w:rsidR="00CD23A2">
        <w:rPr>
          <w:rFonts w:ascii="Arial" w:hAnsi="Arial" w:cs="Arial"/>
          <w:sz w:val="22"/>
        </w:rPr>
        <w:t>5</w:t>
      </w:r>
      <w:r w:rsidRPr="00B46CB3">
        <w:rPr>
          <w:rFonts w:ascii="Arial" w:hAnsi="Arial" w:cs="Arial"/>
          <w:sz w:val="22"/>
        </w:rPr>
        <w:t>. godine. Ostale obveze odnose se na plaćanje dobavljača koje također dospijevaju u siječnju 202</w:t>
      </w:r>
      <w:r w:rsidR="00CD23A2">
        <w:rPr>
          <w:rFonts w:ascii="Arial" w:hAnsi="Arial" w:cs="Arial"/>
          <w:sz w:val="22"/>
        </w:rPr>
        <w:t>5</w:t>
      </w:r>
      <w:r w:rsidRPr="00B46CB3">
        <w:rPr>
          <w:rFonts w:ascii="Arial" w:hAnsi="Arial" w:cs="Arial"/>
          <w:sz w:val="22"/>
        </w:rPr>
        <w:t>. godine.</w:t>
      </w:r>
    </w:p>
    <w:p w14:paraId="28644522" w14:textId="77777777" w:rsidR="002A0990" w:rsidRDefault="002A0990" w:rsidP="00CD23A2">
      <w:pPr>
        <w:pStyle w:val="Bezproreda"/>
        <w:shd w:val="clear" w:color="auto" w:fill="FFFFFF" w:themeFill="background1"/>
        <w:jc w:val="left"/>
        <w:rPr>
          <w:color w:val="FF0000"/>
          <w:sz w:val="22"/>
        </w:rPr>
      </w:pPr>
    </w:p>
    <w:p w14:paraId="530AE227" w14:textId="77777777" w:rsidR="002A0990" w:rsidRPr="004554B2" w:rsidRDefault="002A0990" w:rsidP="00725D97">
      <w:pPr>
        <w:pStyle w:val="Bezproreda"/>
        <w:shd w:val="clear" w:color="auto" w:fill="FFFFFF" w:themeFill="background1"/>
        <w:ind w:left="720"/>
        <w:jc w:val="left"/>
        <w:rPr>
          <w:sz w:val="22"/>
        </w:rPr>
      </w:pPr>
    </w:p>
    <w:p w14:paraId="7583026D" w14:textId="77777777" w:rsidR="00045FBA" w:rsidRDefault="00045FBA" w:rsidP="00045FBA">
      <w:pPr>
        <w:pStyle w:val="Bezproreda"/>
      </w:pPr>
    </w:p>
    <w:p w14:paraId="3E010C6E" w14:textId="77777777" w:rsidR="00045FBA" w:rsidRDefault="00045FBA" w:rsidP="00045FBA">
      <w:pPr>
        <w:pStyle w:val="Bezproreda"/>
      </w:pPr>
    </w:p>
    <w:p w14:paraId="4B498854" w14:textId="7C2C7141" w:rsidR="00515338" w:rsidRPr="00CD23A2" w:rsidRDefault="00515338" w:rsidP="00CD23A2">
      <w:pPr>
        <w:pStyle w:val="Odlomakpopisa"/>
        <w:numPr>
          <w:ilvl w:val="0"/>
          <w:numId w:val="20"/>
        </w:numPr>
        <w:spacing w:line="259" w:lineRule="auto"/>
        <w:jc w:val="both"/>
        <w:rPr>
          <w:rFonts w:ascii="Arial" w:hAnsi="Arial" w:cs="Arial"/>
          <w:b/>
          <w:bCs/>
          <w:szCs w:val="24"/>
        </w:rPr>
      </w:pPr>
      <w:r w:rsidRPr="00CD23A2">
        <w:rPr>
          <w:rFonts w:ascii="Arial" w:hAnsi="Arial" w:cs="Arial"/>
          <w:b/>
          <w:bCs/>
          <w:szCs w:val="24"/>
        </w:rPr>
        <w:t>ZAVRŠNE ODREDBE</w:t>
      </w:r>
    </w:p>
    <w:p w14:paraId="0AD79701" w14:textId="77777777" w:rsidR="002A0990" w:rsidRDefault="002A0990" w:rsidP="00B46CB3">
      <w:pPr>
        <w:jc w:val="both"/>
        <w:rPr>
          <w:rFonts w:ascii="Arial" w:hAnsi="Arial" w:cs="Arial"/>
        </w:rPr>
      </w:pPr>
    </w:p>
    <w:p w14:paraId="4946B15A" w14:textId="3A74A97D" w:rsidR="00045FBA" w:rsidRPr="002A0990" w:rsidRDefault="00B46CB3" w:rsidP="002A0990">
      <w:pPr>
        <w:ind w:firstLine="360"/>
        <w:jc w:val="both"/>
        <w:rPr>
          <w:rFonts w:ascii="Arial" w:hAnsi="Arial" w:cs="Arial"/>
          <w:sz w:val="22"/>
        </w:rPr>
      </w:pPr>
      <w:r w:rsidRPr="002A0990">
        <w:rPr>
          <w:rFonts w:ascii="Arial" w:hAnsi="Arial" w:cs="Arial"/>
          <w:sz w:val="22"/>
        </w:rPr>
        <w:t>Prema odredbama članka 57. Pravilnika o polugodišnjem i godišnjem izvještaju o izvršenju proračuna („Narodne novine“, broj 85/23) Godišnji izvještaj o izvršenju proračuna Interpretacijskog centra Vlaški puti za 202</w:t>
      </w:r>
      <w:r w:rsidR="000D700D">
        <w:rPr>
          <w:rFonts w:ascii="Arial" w:hAnsi="Arial" w:cs="Arial"/>
          <w:sz w:val="22"/>
        </w:rPr>
        <w:t>5</w:t>
      </w:r>
      <w:r w:rsidRPr="002A0990">
        <w:rPr>
          <w:rFonts w:ascii="Arial" w:hAnsi="Arial" w:cs="Arial"/>
          <w:sz w:val="22"/>
        </w:rPr>
        <w:t>. objavit će se na mrežnim stranicama Interpretacijskog centra Vlaški puti.</w:t>
      </w:r>
    </w:p>
    <w:p w14:paraId="6E8BF5A2" w14:textId="77777777" w:rsidR="00B46CB3" w:rsidRDefault="00B46CB3" w:rsidP="00B46CB3">
      <w:pPr>
        <w:jc w:val="both"/>
        <w:rPr>
          <w:rFonts w:ascii="Arial" w:hAnsi="Arial" w:cs="Arial"/>
        </w:rPr>
      </w:pPr>
    </w:p>
    <w:p w14:paraId="13DF80ED" w14:textId="77777777" w:rsidR="002A0990" w:rsidRDefault="002A0990" w:rsidP="00B46CB3">
      <w:pPr>
        <w:jc w:val="both"/>
        <w:rPr>
          <w:rFonts w:ascii="Arial" w:hAnsi="Arial" w:cs="Arial"/>
        </w:rPr>
      </w:pPr>
    </w:p>
    <w:p w14:paraId="3ECC7F96" w14:textId="77777777" w:rsidR="002A0990" w:rsidRDefault="002A0990" w:rsidP="00B46CB3">
      <w:pPr>
        <w:jc w:val="both"/>
        <w:rPr>
          <w:rFonts w:ascii="Arial" w:hAnsi="Arial" w:cs="Arial"/>
        </w:rPr>
      </w:pPr>
    </w:p>
    <w:p w14:paraId="3C21D5D0" w14:textId="77777777" w:rsidR="002A0990" w:rsidRDefault="002A0990" w:rsidP="00B46CB3">
      <w:pPr>
        <w:jc w:val="both"/>
        <w:rPr>
          <w:rFonts w:ascii="Arial" w:hAnsi="Arial" w:cs="Arial"/>
        </w:rPr>
      </w:pPr>
    </w:p>
    <w:p w14:paraId="6A135C67" w14:textId="65AD68FB" w:rsidR="00B46CB3" w:rsidRPr="002A0990" w:rsidRDefault="00357551" w:rsidP="002A0990">
      <w:pPr>
        <w:ind w:left="2832" w:firstLine="708"/>
        <w:jc w:val="both"/>
        <w:rPr>
          <w:rFonts w:ascii="Arial" w:hAnsi="Arial" w:cs="Arial"/>
          <w:sz w:val="22"/>
        </w:rPr>
      </w:pPr>
      <w:r w:rsidRPr="002A0990">
        <w:rPr>
          <w:rFonts w:ascii="Arial" w:hAnsi="Arial" w:cs="Arial"/>
          <w:sz w:val="22"/>
        </w:rPr>
        <w:t>Ravnateljica Interpretacijskog centra Vlaški puti</w:t>
      </w:r>
    </w:p>
    <w:p w14:paraId="70D58E7D" w14:textId="77777777" w:rsidR="00357551" w:rsidRPr="002A0990" w:rsidRDefault="00357551" w:rsidP="00357551">
      <w:pPr>
        <w:ind w:left="2124" w:firstLine="708"/>
        <w:jc w:val="both"/>
        <w:rPr>
          <w:rFonts w:ascii="Arial" w:hAnsi="Arial" w:cs="Arial"/>
          <w:sz w:val="22"/>
        </w:rPr>
      </w:pPr>
    </w:p>
    <w:p w14:paraId="193804CD" w14:textId="629DF6EC" w:rsidR="00357551" w:rsidRPr="002A0990" w:rsidRDefault="00357551" w:rsidP="002A0990">
      <w:pPr>
        <w:ind w:left="2832" w:firstLine="708"/>
        <w:jc w:val="both"/>
        <w:rPr>
          <w:rFonts w:ascii="Arial" w:hAnsi="Arial" w:cs="Arial"/>
          <w:sz w:val="22"/>
        </w:rPr>
      </w:pPr>
      <w:r w:rsidRPr="002A0990">
        <w:rPr>
          <w:rFonts w:ascii="Arial" w:hAnsi="Arial" w:cs="Arial"/>
          <w:sz w:val="22"/>
        </w:rPr>
        <w:t>________________________________</w:t>
      </w:r>
    </w:p>
    <w:p w14:paraId="5FC19C44" w14:textId="7E892E39" w:rsidR="00357551" w:rsidRPr="002A0990" w:rsidRDefault="00357551" w:rsidP="002A0990">
      <w:pPr>
        <w:ind w:left="2832" w:firstLine="708"/>
        <w:jc w:val="both"/>
        <w:rPr>
          <w:rFonts w:ascii="Arial" w:hAnsi="Arial" w:cs="Arial"/>
          <w:sz w:val="22"/>
        </w:rPr>
      </w:pPr>
      <w:r w:rsidRPr="002A0990">
        <w:rPr>
          <w:rFonts w:ascii="Arial" w:hAnsi="Arial" w:cs="Arial"/>
          <w:sz w:val="22"/>
        </w:rPr>
        <w:t>Viviana Brkarić, mag.oec</w:t>
      </w:r>
    </w:p>
    <w:p w14:paraId="3E6A0F59" w14:textId="77777777" w:rsidR="00357551" w:rsidRDefault="00357551" w:rsidP="00357551">
      <w:pPr>
        <w:ind w:left="2124" w:firstLine="708"/>
        <w:jc w:val="both"/>
      </w:pPr>
    </w:p>
    <w:p w14:paraId="380E97EC" w14:textId="77777777" w:rsidR="00045FBA" w:rsidRDefault="00045FBA" w:rsidP="00045FBA">
      <w:pPr>
        <w:pStyle w:val="Bezproreda"/>
      </w:pPr>
    </w:p>
    <w:p w14:paraId="22E7047D" w14:textId="77777777" w:rsidR="00045FBA" w:rsidRDefault="00045FBA" w:rsidP="00045FBA">
      <w:pPr>
        <w:pStyle w:val="Bezproreda"/>
      </w:pPr>
    </w:p>
    <w:p w14:paraId="13A3FB64" w14:textId="77777777" w:rsidR="00045FBA" w:rsidRDefault="00045FBA" w:rsidP="00045FBA">
      <w:pPr>
        <w:pStyle w:val="Bezproreda"/>
      </w:pPr>
    </w:p>
    <w:p w14:paraId="14EFE5DA" w14:textId="77777777" w:rsidR="00045FBA" w:rsidRDefault="00045FBA" w:rsidP="00045FBA">
      <w:pPr>
        <w:pStyle w:val="Bezproreda"/>
      </w:pPr>
    </w:p>
    <w:p w14:paraId="52518A5A" w14:textId="77777777" w:rsidR="00045FBA" w:rsidRDefault="00045FBA" w:rsidP="00045FBA">
      <w:pPr>
        <w:pStyle w:val="Bezproreda"/>
      </w:pPr>
    </w:p>
    <w:p w14:paraId="1D357457" w14:textId="77777777" w:rsidR="00045FBA" w:rsidRDefault="00045FBA" w:rsidP="00045FBA">
      <w:pPr>
        <w:pStyle w:val="Bezproreda"/>
      </w:pPr>
    </w:p>
    <w:p w14:paraId="26BCF8AF" w14:textId="77777777" w:rsidR="00045FBA" w:rsidRDefault="00045FBA" w:rsidP="00045FBA">
      <w:pPr>
        <w:pStyle w:val="Bezproreda"/>
      </w:pPr>
    </w:p>
    <w:p w14:paraId="3A9D2B90" w14:textId="77777777" w:rsidR="00045FBA" w:rsidRDefault="00045FBA" w:rsidP="00045FBA">
      <w:pPr>
        <w:pStyle w:val="Bezproreda"/>
      </w:pPr>
    </w:p>
    <w:p w14:paraId="3A9D12EC" w14:textId="77777777" w:rsidR="00045FBA" w:rsidRDefault="00045FBA" w:rsidP="00045FBA">
      <w:pPr>
        <w:pStyle w:val="Bezproreda"/>
      </w:pPr>
    </w:p>
    <w:p w14:paraId="36EBB8E2" w14:textId="77777777" w:rsidR="00045FBA" w:rsidRDefault="00045FBA" w:rsidP="00045FBA">
      <w:pPr>
        <w:pStyle w:val="Bezproreda"/>
      </w:pPr>
    </w:p>
    <w:p w14:paraId="0C208514" w14:textId="77777777" w:rsidR="00045FBA" w:rsidRDefault="00045FBA" w:rsidP="00045FBA">
      <w:pPr>
        <w:pStyle w:val="Bezproreda"/>
      </w:pPr>
    </w:p>
    <w:p w14:paraId="569E14F9" w14:textId="77777777" w:rsidR="00045FBA" w:rsidRDefault="00045FBA" w:rsidP="00045FBA">
      <w:pPr>
        <w:pStyle w:val="Bezproreda"/>
      </w:pPr>
    </w:p>
    <w:p w14:paraId="099783F4" w14:textId="77777777" w:rsidR="00045FBA" w:rsidRDefault="00045FBA" w:rsidP="00045FBA">
      <w:pPr>
        <w:jc w:val="both"/>
        <w:rPr>
          <w:bCs/>
          <w:sz w:val="22"/>
        </w:rPr>
      </w:pPr>
      <w:r w:rsidRPr="007A6E17">
        <w:rPr>
          <w:bCs/>
          <w:sz w:val="22"/>
        </w:rPr>
        <w:tab/>
      </w:r>
    </w:p>
    <w:p w14:paraId="4CA72E80" w14:textId="44AFB6D9" w:rsidR="00C027BE" w:rsidRDefault="00C027BE" w:rsidP="004E10C0">
      <w:pPr>
        <w:pStyle w:val="Bezproreda"/>
        <w:shd w:val="clear" w:color="auto" w:fill="FFFFFF" w:themeFill="background1"/>
        <w:jc w:val="left"/>
      </w:pPr>
    </w:p>
    <w:sectPr w:rsidR="00C027BE" w:rsidSect="004057CA">
      <w:headerReference w:type="default" r:id="rId10"/>
      <w:footerReference w:type="default" r:id="rId11"/>
      <w:pgSz w:w="11906" w:h="16838"/>
      <w:pgMar w:top="1135" w:right="1276" w:bottom="568" w:left="141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1B5BB" w14:textId="77777777" w:rsidR="00687C12" w:rsidRDefault="00687C12" w:rsidP="00E064B8">
      <w:pPr>
        <w:spacing w:after="0" w:line="240" w:lineRule="auto"/>
      </w:pPr>
      <w:r>
        <w:separator/>
      </w:r>
    </w:p>
  </w:endnote>
  <w:endnote w:type="continuationSeparator" w:id="0">
    <w:p w14:paraId="13FD84C6" w14:textId="77777777" w:rsidR="00687C12" w:rsidRDefault="00687C12" w:rsidP="00E0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0456594"/>
      <w:docPartObj>
        <w:docPartGallery w:val="Page Numbers (Bottom of Page)"/>
        <w:docPartUnique/>
      </w:docPartObj>
    </w:sdtPr>
    <w:sdtEndPr/>
    <w:sdtContent>
      <w:p w14:paraId="2F294486" w14:textId="108561CE" w:rsidR="007E6429" w:rsidRDefault="007E642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0BD">
          <w:rPr>
            <w:noProof/>
          </w:rPr>
          <w:t>17</w:t>
        </w:r>
        <w:r>
          <w:fldChar w:fldCharType="end"/>
        </w:r>
      </w:p>
    </w:sdtContent>
  </w:sdt>
  <w:p w14:paraId="5221EE4F" w14:textId="77777777" w:rsidR="007E6429" w:rsidRDefault="007E64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71924" w14:textId="77777777" w:rsidR="00687C12" w:rsidRDefault="00687C12" w:rsidP="00E064B8">
      <w:pPr>
        <w:spacing w:after="0" w:line="240" w:lineRule="auto"/>
      </w:pPr>
      <w:r>
        <w:separator/>
      </w:r>
    </w:p>
  </w:footnote>
  <w:footnote w:type="continuationSeparator" w:id="0">
    <w:p w14:paraId="1FF0F2C7" w14:textId="77777777" w:rsidR="00687C12" w:rsidRDefault="00687C12" w:rsidP="00E06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48879" w14:textId="77777777" w:rsidR="007E6429" w:rsidRPr="009169D6" w:rsidRDefault="007E6429">
    <w:pPr>
      <w:pStyle w:val="Zaglavlj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79DD"/>
    <w:multiLevelType w:val="multilevel"/>
    <w:tmpl w:val="A64EAF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98F69F1"/>
    <w:multiLevelType w:val="multilevel"/>
    <w:tmpl w:val="00C265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101F28C2"/>
    <w:multiLevelType w:val="multilevel"/>
    <w:tmpl w:val="BA2231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DED4AFB"/>
    <w:multiLevelType w:val="multilevel"/>
    <w:tmpl w:val="10D4E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E5F4BCB"/>
    <w:multiLevelType w:val="hybridMultilevel"/>
    <w:tmpl w:val="C7023E0E"/>
    <w:lvl w:ilvl="0" w:tplc="0809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C34BA"/>
    <w:multiLevelType w:val="multilevel"/>
    <w:tmpl w:val="4776009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F5946D6"/>
    <w:multiLevelType w:val="multilevel"/>
    <w:tmpl w:val="4EFCAD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3C04671"/>
    <w:multiLevelType w:val="multilevel"/>
    <w:tmpl w:val="4EFCA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65B2AF6"/>
    <w:multiLevelType w:val="hybridMultilevel"/>
    <w:tmpl w:val="9BEAEB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86FC3"/>
    <w:multiLevelType w:val="hybridMultilevel"/>
    <w:tmpl w:val="C7023E0E"/>
    <w:lvl w:ilvl="0" w:tplc="0809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50EC7"/>
    <w:multiLevelType w:val="multilevel"/>
    <w:tmpl w:val="4EFCA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1981FEF"/>
    <w:multiLevelType w:val="multilevel"/>
    <w:tmpl w:val="71BE24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48413ACB"/>
    <w:multiLevelType w:val="multilevel"/>
    <w:tmpl w:val="A64EAF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0DF3776"/>
    <w:multiLevelType w:val="hybridMultilevel"/>
    <w:tmpl w:val="E2009B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16C46"/>
    <w:multiLevelType w:val="multilevel"/>
    <w:tmpl w:val="4776009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8050A28"/>
    <w:multiLevelType w:val="multilevel"/>
    <w:tmpl w:val="B850554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596F3DA1"/>
    <w:multiLevelType w:val="hybridMultilevel"/>
    <w:tmpl w:val="322ADA7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166C4"/>
    <w:multiLevelType w:val="hybridMultilevel"/>
    <w:tmpl w:val="0CE40D3A"/>
    <w:lvl w:ilvl="0" w:tplc="BCCC8EF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 w:val="0"/>
        <w:sz w:val="24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822CE7"/>
    <w:multiLevelType w:val="hybridMultilevel"/>
    <w:tmpl w:val="EA7E8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E6B70"/>
    <w:multiLevelType w:val="hybridMultilevel"/>
    <w:tmpl w:val="C7023E0E"/>
    <w:lvl w:ilvl="0" w:tplc="0809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E23B8"/>
    <w:multiLevelType w:val="hybridMultilevel"/>
    <w:tmpl w:val="73700AD8"/>
    <w:lvl w:ilvl="0" w:tplc="80C202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B049E"/>
    <w:multiLevelType w:val="hybridMultilevel"/>
    <w:tmpl w:val="C7CEC0BC"/>
    <w:lvl w:ilvl="0" w:tplc="578E44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1"/>
  </w:num>
  <w:num w:numId="5">
    <w:abstractNumId w:val="19"/>
  </w:num>
  <w:num w:numId="6">
    <w:abstractNumId w:val="4"/>
  </w:num>
  <w:num w:numId="7">
    <w:abstractNumId w:val="18"/>
  </w:num>
  <w:num w:numId="8">
    <w:abstractNumId w:val="16"/>
  </w:num>
  <w:num w:numId="9">
    <w:abstractNumId w:val="20"/>
  </w:num>
  <w:num w:numId="10">
    <w:abstractNumId w:val="21"/>
  </w:num>
  <w:num w:numId="11">
    <w:abstractNumId w:val="5"/>
  </w:num>
  <w:num w:numId="12">
    <w:abstractNumId w:val="17"/>
  </w:num>
  <w:num w:numId="13">
    <w:abstractNumId w:val="3"/>
  </w:num>
  <w:num w:numId="14">
    <w:abstractNumId w:val="10"/>
  </w:num>
  <w:num w:numId="15">
    <w:abstractNumId w:val="1"/>
  </w:num>
  <w:num w:numId="16">
    <w:abstractNumId w:val="14"/>
  </w:num>
  <w:num w:numId="17">
    <w:abstractNumId w:val="2"/>
  </w:num>
  <w:num w:numId="18">
    <w:abstractNumId w:val="0"/>
  </w:num>
  <w:num w:numId="19">
    <w:abstractNumId w:val="12"/>
  </w:num>
  <w:num w:numId="20">
    <w:abstractNumId w:val="1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E97"/>
    <w:rsid w:val="000014EE"/>
    <w:rsid w:val="000022A8"/>
    <w:rsid w:val="00004462"/>
    <w:rsid w:val="00007E0C"/>
    <w:rsid w:val="0001040A"/>
    <w:rsid w:val="00013AA9"/>
    <w:rsid w:val="000141B5"/>
    <w:rsid w:val="000175CB"/>
    <w:rsid w:val="0002456B"/>
    <w:rsid w:val="0002651D"/>
    <w:rsid w:val="00026C6F"/>
    <w:rsid w:val="00035792"/>
    <w:rsid w:val="000358AE"/>
    <w:rsid w:val="00045FBA"/>
    <w:rsid w:val="000472F1"/>
    <w:rsid w:val="00051310"/>
    <w:rsid w:val="0005210A"/>
    <w:rsid w:val="00052501"/>
    <w:rsid w:val="00055335"/>
    <w:rsid w:val="000555C4"/>
    <w:rsid w:val="000628B2"/>
    <w:rsid w:val="0006390F"/>
    <w:rsid w:val="00072328"/>
    <w:rsid w:val="00073899"/>
    <w:rsid w:val="00075437"/>
    <w:rsid w:val="00075D0D"/>
    <w:rsid w:val="00084CC3"/>
    <w:rsid w:val="000862A1"/>
    <w:rsid w:val="00086511"/>
    <w:rsid w:val="0009109B"/>
    <w:rsid w:val="000A5A2E"/>
    <w:rsid w:val="000A6086"/>
    <w:rsid w:val="000A61EC"/>
    <w:rsid w:val="000B20BB"/>
    <w:rsid w:val="000B2436"/>
    <w:rsid w:val="000B5C22"/>
    <w:rsid w:val="000C3DE7"/>
    <w:rsid w:val="000D1010"/>
    <w:rsid w:val="000D1530"/>
    <w:rsid w:val="000D4623"/>
    <w:rsid w:val="000D51B4"/>
    <w:rsid w:val="000D700D"/>
    <w:rsid w:val="000D74D0"/>
    <w:rsid w:val="000E441A"/>
    <w:rsid w:val="000E4D02"/>
    <w:rsid w:val="000F72C8"/>
    <w:rsid w:val="000F7439"/>
    <w:rsid w:val="0010418C"/>
    <w:rsid w:val="00113E85"/>
    <w:rsid w:val="00114A19"/>
    <w:rsid w:val="001175D9"/>
    <w:rsid w:val="00117B68"/>
    <w:rsid w:val="00121C02"/>
    <w:rsid w:val="0012316C"/>
    <w:rsid w:val="00126B8A"/>
    <w:rsid w:val="001300F5"/>
    <w:rsid w:val="00130634"/>
    <w:rsid w:val="00150F40"/>
    <w:rsid w:val="00152DF4"/>
    <w:rsid w:val="00155CB0"/>
    <w:rsid w:val="001742EF"/>
    <w:rsid w:val="001825D5"/>
    <w:rsid w:val="001836C3"/>
    <w:rsid w:val="001A6E0B"/>
    <w:rsid w:val="001B0B83"/>
    <w:rsid w:val="001B1F3E"/>
    <w:rsid w:val="001B7CC0"/>
    <w:rsid w:val="001C60A1"/>
    <w:rsid w:val="001D4237"/>
    <w:rsid w:val="001D70BD"/>
    <w:rsid w:val="001E5CEA"/>
    <w:rsid w:val="001E6C77"/>
    <w:rsid w:val="00206208"/>
    <w:rsid w:val="002069F1"/>
    <w:rsid w:val="00210F8C"/>
    <w:rsid w:val="00214BF3"/>
    <w:rsid w:val="002151B3"/>
    <w:rsid w:val="002155AB"/>
    <w:rsid w:val="00216984"/>
    <w:rsid w:val="00222001"/>
    <w:rsid w:val="00242CB8"/>
    <w:rsid w:val="002430AF"/>
    <w:rsid w:val="00245184"/>
    <w:rsid w:val="00251F2E"/>
    <w:rsid w:val="002530D4"/>
    <w:rsid w:val="00261E97"/>
    <w:rsid w:val="00270A85"/>
    <w:rsid w:val="00273FB4"/>
    <w:rsid w:val="0028231B"/>
    <w:rsid w:val="00284B60"/>
    <w:rsid w:val="0028589C"/>
    <w:rsid w:val="002859E5"/>
    <w:rsid w:val="00287FEE"/>
    <w:rsid w:val="002903D5"/>
    <w:rsid w:val="00294E69"/>
    <w:rsid w:val="00296330"/>
    <w:rsid w:val="002A0990"/>
    <w:rsid w:val="002A2B2A"/>
    <w:rsid w:val="002A6CC6"/>
    <w:rsid w:val="002B1559"/>
    <w:rsid w:val="002B4B6A"/>
    <w:rsid w:val="002B715D"/>
    <w:rsid w:val="002B7CA3"/>
    <w:rsid w:val="002C4ABC"/>
    <w:rsid w:val="002C51BC"/>
    <w:rsid w:val="002C5655"/>
    <w:rsid w:val="002D066C"/>
    <w:rsid w:val="002D085E"/>
    <w:rsid w:val="002D315A"/>
    <w:rsid w:val="002D464C"/>
    <w:rsid w:val="002E05A2"/>
    <w:rsid w:val="002E231C"/>
    <w:rsid w:val="002E5AE4"/>
    <w:rsid w:val="002F2BE4"/>
    <w:rsid w:val="002F41D9"/>
    <w:rsid w:val="002F4985"/>
    <w:rsid w:val="002F7593"/>
    <w:rsid w:val="00306EFD"/>
    <w:rsid w:val="00307071"/>
    <w:rsid w:val="00313DFA"/>
    <w:rsid w:val="00322871"/>
    <w:rsid w:val="00335CA5"/>
    <w:rsid w:val="00337093"/>
    <w:rsid w:val="00343B4A"/>
    <w:rsid w:val="00350750"/>
    <w:rsid w:val="00355AA8"/>
    <w:rsid w:val="00356C94"/>
    <w:rsid w:val="00357551"/>
    <w:rsid w:val="0036261C"/>
    <w:rsid w:val="00367E97"/>
    <w:rsid w:val="00373C13"/>
    <w:rsid w:val="00376616"/>
    <w:rsid w:val="00377843"/>
    <w:rsid w:val="00391A2F"/>
    <w:rsid w:val="003933E2"/>
    <w:rsid w:val="003950D8"/>
    <w:rsid w:val="00395EB9"/>
    <w:rsid w:val="00397113"/>
    <w:rsid w:val="003A1B75"/>
    <w:rsid w:val="003A7938"/>
    <w:rsid w:val="003B2F72"/>
    <w:rsid w:val="003C01B2"/>
    <w:rsid w:val="003C1BFB"/>
    <w:rsid w:val="003C20C6"/>
    <w:rsid w:val="003E4A91"/>
    <w:rsid w:val="003E4CDB"/>
    <w:rsid w:val="003F1629"/>
    <w:rsid w:val="003F7638"/>
    <w:rsid w:val="004057CA"/>
    <w:rsid w:val="0040597E"/>
    <w:rsid w:val="00411A71"/>
    <w:rsid w:val="00417B8E"/>
    <w:rsid w:val="00423D78"/>
    <w:rsid w:val="00424D03"/>
    <w:rsid w:val="00427F31"/>
    <w:rsid w:val="00430742"/>
    <w:rsid w:val="004554B2"/>
    <w:rsid w:val="004634C5"/>
    <w:rsid w:val="004706AA"/>
    <w:rsid w:val="00472F78"/>
    <w:rsid w:val="00475B65"/>
    <w:rsid w:val="00490DDC"/>
    <w:rsid w:val="004936C4"/>
    <w:rsid w:val="004972BA"/>
    <w:rsid w:val="004A1981"/>
    <w:rsid w:val="004A3AF6"/>
    <w:rsid w:val="004B2915"/>
    <w:rsid w:val="004B29D8"/>
    <w:rsid w:val="004B37AE"/>
    <w:rsid w:val="004B41A5"/>
    <w:rsid w:val="004C66A0"/>
    <w:rsid w:val="004D38DA"/>
    <w:rsid w:val="004E10C0"/>
    <w:rsid w:val="004E15B2"/>
    <w:rsid w:val="004E74F6"/>
    <w:rsid w:val="00504BA9"/>
    <w:rsid w:val="0051165C"/>
    <w:rsid w:val="00515338"/>
    <w:rsid w:val="00537D06"/>
    <w:rsid w:val="00546774"/>
    <w:rsid w:val="00547699"/>
    <w:rsid w:val="00550814"/>
    <w:rsid w:val="00553127"/>
    <w:rsid w:val="005566A4"/>
    <w:rsid w:val="0055715D"/>
    <w:rsid w:val="0055785C"/>
    <w:rsid w:val="00566BC0"/>
    <w:rsid w:val="00574226"/>
    <w:rsid w:val="005772FD"/>
    <w:rsid w:val="005822E4"/>
    <w:rsid w:val="005856A6"/>
    <w:rsid w:val="00585B1F"/>
    <w:rsid w:val="00585E29"/>
    <w:rsid w:val="00597A9A"/>
    <w:rsid w:val="005A4EFA"/>
    <w:rsid w:val="005B0D74"/>
    <w:rsid w:val="005D2551"/>
    <w:rsid w:val="005D384E"/>
    <w:rsid w:val="005E3CB8"/>
    <w:rsid w:val="005E69A3"/>
    <w:rsid w:val="005F331A"/>
    <w:rsid w:val="006120A2"/>
    <w:rsid w:val="006167D2"/>
    <w:rsid w:val="00621278"/>
    <w:rsid w:val="006252C0"/>
    <w:rsid w:val="0062602D"/>
    <w:rsid w:val="00645F37"/>
    <w:rsid w:val="0065354C"/>
    <w:rsid w:val="00655A78"/>
    <w:rsid w:val="00656087"/>
    <w:rsid w:val="0065763B"/>
    <w:rsid w:val="006713C4"/>
    <w:rsid w:val="00671A77"/>
    <w:rsid w:val="00672A5C"/>
    <w:rsid w:val="00672BE8"/>
    <w:rsid w:val="00675317"/>
    <w:rsid w:val="006762D8"/>
    <w:rsid w:val="00676A97"/>
    <w:rsid w:val="00677B77"/>
    <w:rsid w:val="0068125F"/>
    <w:rsid w:val="006837AF"/>
    <w:rsid w:val="00687C12"/>
    <w:rsid w:val="006A13FB"/>
    <w:rsid w:val="006B3CDF"/>
    <w:rsid w:val="006C0867"/>
    <w:rsid w:val="006C5E66"/>
    <w:rsid w:val="006D4AD3"/>
    <w:rsid w:val="006D4EAC"/>
    <w:rsid w:val="006D7525"/>
    <w:rsid w:val="006E2919"/>
    <w:rsid w:val="006E60DB"/>
    <w:rsid w:val="006E6911"/>
    <w:rsid w:val="006E7F5C"/>
    <w:rsid w:val="006F1261"/>
    <w:rsid w:val="006F17B4"/>
    <w:rsid w:val="006F6246"/>
    <w:rsid w:val="0070319E"/>
    <w:rsid w:val="007107D2"/>
    <w:rsid w:val="0071375B"/>
    <w:rsid w:val="00713B0C"/>
    <w:rsid w:val="0071424B"/>
    <w:rsid w:val="00715E28"/>
    <w:rsid w:val="00716973"/>
    <w:rsid w:val="00717850"/>
    <w:rsid w:val="00721104"/>
    <w:rsid w:val="00725D97"/>
    <w:rsid w:val="007316C5"/>
    <w:rsid w:val="007331EF"/>
    <w:rsid w:val="00733529"/>
    <w:rsid w:val="0073434A"/>
    <w:rsid w:val="00737525"/>
    <w:rsid w:val="00741242"/>
    <w:rsid w:val="007421B8"/>
    <w:rsid w:val="00753204"/>
    <w:rsid w:val="00755093"/>
    <w:rsid w:val="007555C0"/>
    <w:rsid w:val="007629F3"/>
    <w:rsid w:val="007846FC"/>
    <w:rsid w:val="00785AA2"/>
    <w:rsid w:val="00792681"/>
    <w:rsid w:val="00792F89"/>
    <w:rsid w:val="00792FE9"/>
    <w:rsid w:val="007A1F5D"/>
    <w:rsid w:val="007A413E"/>
    <w:rsid w:val="007A6E17"/>
    <w:rsid w:val="007A7A7A"/>
    <w:rsid w:val="007B1F79"/>
    <w:rsid w:val="007B6FD0"/>
    <w:rsid w:val="007C0CBB"/>
    <w:rsid w:val="007C6CF9"/>
    <w:rsid w:val="007D1C8C"/>
    <w:rsid w:val="007D5257"/>
    <w:rsid w:val="007E03C3"/>
    <w:rsid w:val="007E1ACC"/>
    <w:rsid w:val="007E4BC7"/>
    <w:rsid w:val="007E6429"/>
    <w:rsid w:val="007F05BC"/>
    <w:rsid w:val="007F08B8"/>
    <w:rsid w:val="007F1F0C"/>
    <w:rsid w:val="007F25CF"/>
    <w:rsid w:val="007F2A3D"/>
    <w:rsid w:val="007F7DB3"/>
    <w:rsid w:val="00804C69"/>
    <w:rsid w:val="00807A6D"/>
    <w:rsid w:val="00812311"/>
    <w:rsid w:val="00813DED"/>
    <w:rsid w:val="00814E1D"/>
    <w:rsid w:val="00816FE6"/>
    <w:rsid w:val="00820BC1"/>
    <w:rsid w:val="008325FD"/>
    <w:rsid w:val="00836F8F"/>
    <w:rsid w:val="00837E26"/>
    <w:rsid w:val="00843094"/>
    <w:rsid w:val="00843940"/>
    <w:rsid w:val="00845AED"/>
    <w:rsid w:val="00845DB2"/>
    <w:rsid w:val="00846A79"/>
    <w:rsid w:val="00847CA8"/>
    <w:rsid w:val="00847DE3"/>
    <w:rsid w:val="008600F2"/>
    <w:rsid w:val="00861E75"/>
    <w:rsid w:val="008661C6"/>
    <w:rsid w:val="00870296"/>
    <w:rsid w:val="00876EEF"/>
    <w:rsid w:val="00894703"/>
    <w:rsid w:val="0089483C"/>
    <w:rsid w:val="008A0BF9"/>
    <w:rsid w:val="008A18F0"/>
    <w:rsid w:val="008A49EE"/>
    <w:rsid w:val="008A6838"/>
    <w:rsid w:val="008B0782"/>
    <w:rsid w:val="008B0D10"/>
    <w:rsid w:val="008D4B28"/>
    <w:rsid w:val="008D5FCA"/>
    <w:rsid w:val="008D67C2"/>
    <w:rsid w:val="008E2551"/>
    <w:rsid w:val="008E64A2"/>
    <w:rsid w:val="008F174B"/>
    <w:rsid w:val="008F25F2"/>
    <w:rsid w:val="008F2C14"/>
    <w:rsid w:val="00902594"/>
    <w:rsid w:val="00903F8B"/>
    <w:rsid w:val="0090466F"/>
    <w:rsid w:val="0090598C"/>
    <w:rsid w:val="00905C1D"/>
    <w:rsid w:val="009112F2"/>
    <w:rsid w:val="00911BD7"/>
    <w:rsid w:val="009121A9"/>
    <w:rsid w:val="009169D6"/>
    <w:rsid w:val="009260F3"/>
    <w:rsid w:val="009349E3"/>
    <w:rsid w:val="009354C2"/>
    <w:rsid w:val="00956334"/>
    <w:rsid w:val="0095677B"/>
    <w:rsid w:val="00960EDA"/>
    <w:rsid w:val="009643D4"/>
    <w:rsid w:val="00967590"/>
    <w:rsid w:val="00967988"/>
    <w:rsid w:val="0097329D"/>
    <w:rsid w:val="0097435A"/>
    <w:rsid w:val="00974EFE"/>
    <w:rsid w:val="00985F35"/>
    <w:rsid w:val="00990EF7"/>
    <w:rsid w:val="00995800"/>
    <w:rsid w:val="009A01A4"/>
    <w:rsid w:val="009A46D5"/>
    <w:rsid w:val="009B6ED7"/>
    <w:rsid w:val="009C13FE"/>
    <w:rsid w:val="009C5ABB"/>
    <w:rsid w:val="009C7453"/>
    <w:rsid w:val="009D1C82"/>
    <w:rsid w:val="009D2C14"/>
    <w:rsid w:val="009F3AC0"/>
    <w:rsid w:val="009F6091"/>
    <w:rsid w:val="00A11583"/>
    <w:rsid w:val="00A14C16"/>
    <w:rsid w:val="00A15107"/>
    <w:rsid w:val="00A21046"/>
    <w:rsid w:val="00A318F0"/>
    <w:rsid w:val="00A34843"/>
    <w:rsid w:val="00A410F1"/>
    <w:rsid w:val="00A4139D"/>
    <w:rsid w:val="00A43226"/>
    <w:rsid w:val="00A44DBF"/>
    <w:rsid w:val="00A475C3"/>
    <w:rsid w:val="00A50805"/>
    <w:rsid w:val="00A508B7"/>
    <w:rsid w:val="00A552BA"/>
    <w:rsid w:val="00A56549"/>
    <w:rsid w:val="00A5688E"/>
    <w:rsid w:val="00A6036E"/>
    <w:rsid w:val="00A60514"/>
    <w:rsid w:val="00A72958"/>
    <w:rsid w:val="00A72CA0"/>
    <w:rsid w:val="00A7422B"/>
    <w:rsid w:val="00A76138"/>
    <w:rsid w:val="00A80BC0"/>
    <w:rsid w:val="00A9077E"/>
    <w:rsid w:val="00A96EDA"/>
    <w:rsid w:val="00AA01E1"/>
    <w:rsid w:val="00AA5E07"/>
    <w:rsid w:val="00AA6FF7"/>
    <w:rsid w:val="00AB0018"/>
    <w:rsid w:val="00AB05FA"/>
    <w:rsid w:val="00AB4CBF"/>
    <w:rsid w:val="00AB6FF6"/>
    <w:rsid w:val="00AC09D7"/>
    <w:rsid w:val="00AC7C7E"/>
    <w:rsid w:val="00AD43C4"/>
    <w:rsid w:val="00AD77E8"/>
    <w:rsid w:val="00AE011C"/>
    <w:rsid w:val="00AE2505"/>
    <w:rsid w:val="00AF3269"/>
    <w:rsid w:val="00B016BD"/>
    <w:rsid w:val="00B051BC"/>
    <w:rsid w:val="00B06878"/>
    <w:rsid w:val="00B07DC0"/>
    <w:rsid w:val="00B123E8"/>
    <w:rsid w:val="00B15CED"/>
    <w:rsid w:val="00B17A1E"/>
    <w:rsid w:val="00B240BF"/>
    <w:rsid w:val="00B31DEF"/>
    <w:rsid w:val="00B33953"/>
    <w:rsid w:val="00B37D2F"/>
    <w:rsid w:val="00B40EE5"/>
    <w:rsid w:val="00B46CB3"/>
    <w:rsid w:val="00B5327A"/>
    <w:rsid w:val="00B6252E"/>
    <w:rsid w:val="00B711CA"/>
    <w:rsid w:val="00B71655"/>
    <w:rsid w:val="00B73999"/>
    <w:rsid w:val="00B7527B"/>
    <w:rsid w:val="00B83F34"/>
    <w:rsid w:val="00B9059C"/>
    <w:rsid w:val="00B91D91"/>
    <w:rsid w:val="00BA4C63"/>
    <w:rsid w:val="00BB0D74"/>
    <w:rsid w:val="00BB538E"/>
    <w:rsid w:val="00BB55A0"/>
    <w:rsid w:val="00BC45CD"/>
    <w:rsid w:val="00BC47DB"/>
    <w:rsid w:val="00BC77B2"/>
    <w:rsid w:val="00BD4D93"/>
    <w:rsid w:val="00BE0BAF"/>
    <w:rsid w:val="00BE1BB2"/>
    <w:rsid w:val="00BE2DED"/>
    <w:rsid w:val="00BE4023"/>
    <w:rsid w:val="00BF19A8"/>
    <w:rsid w:val="00BF4E9C"/>
    <w:rsid w:val="00C00445"/>
    <w:rsid w:val="00C0072E"/>
    <w:rsid w:val="00C027BE"/>
    <w:rsid w:val="00C1599C"/>
    <w:rsid w:val="00C25A50"/>
    <w:rsid w:val="00C322E2"/>
    <w:rsid w:val="00C35996"/>
    <w:rsid w:val="00C41ECE"/>
    <w:rsid w:val="00C47FF4"/>
    <w:rsid w:val="00C529A1"/>
    <w:rsid w:val="00C53851"/>
    <w:rsid w:val="00C57A03"/>
    <w:rsid w:val="00C62E89"/>
    <w:rsid w:val="00C74276"/>
    <w:rsid w:val="00C771EB"/>
    <w:rsid w:val="00C87AFD"/>
    <w:rsid w:val="00C9104B"/>
    <w:rsid w:val="00C955BD"/>
    <w:rsid w:val="00CB3492"/>
    <w:rsid w:val="00CB46B0"/>
    <w:rsid w:val="00CD23A2"/>
    <w:rsid w:val="00CF0702"/>
    <w:rsid w:val="00D02B54"/>
    <w:rsid w:val="00D02CB6"/>
    <w:rsid w:val="00D0742C"/>
    <w:rsid w:val="00D1681C"/>
    <w:rsid w:val="00D21390"/>
    <w:rsid w:val="00D27B4E"/>
    <w:rsid w:val="00D32E6C"/>
    <w:rsid w:val="00D36BA4"/>
    <w:rsid w:val="00D36D38"/>
    <w:rsid w:val="00D37406"/>
    <w:rsid w:val="00D45394"/>
    <w:rsid w:val="00D45990"/>
    <w:rsid w:val="00D46538"/>
    <w:rsid w:val="00D528C2"/>
    <w:rsid w:val="00D676C0"/>
    <w:rsid w:val="00D775CE"/>
    <w:rsid w:val="00D8107F"/>
    <w:rsid w:val="00D82941"/>
    <w:rsid w:val="00D937BA"/>
    <w:rsid w:val="00D94404"/>
    <w:rsid w:val="00D952BE"/>
    <w:rsid w:val="00D95E3C"/>
    <w:rsid w:val="00DB7171"/>
    <w:rsid w:val="00DC0C2B"/>
    <w:rsid w:val="00DC2F82"/>
    <w:rsid w:val="00DD107E"/>
    <w:rsid w:val="00DD252C"/>
    <w:rsid w:val="00DD2DE0"/>
    <w:rsid w:val="00DE7B46"/>
    <w:rsid w:val="00E017D2"/>
    <w:rsid w:val="00E01E9F"/>
    <w:rsid w:val="00E064B8"/>
    <w:rsid w:val="00E13433"/>
    <w:rsid w:val="00E13C1C"/>
    <w:rsid w:val="00E152A3"/>
    <w:rsid w:val="00E20E28"/>
    <w:rsid w:val="00E21600"/>
    <w:rsid w:val="00E22A16"/>
    <w:rsid w:val="00E23FD6"/>
    <w:rsid w:val="00E25AE1"/>
    <w:rsid w:val="00E27010"/>
    <w:rsid w:val="00E30AF0"/>
    <w:rsid w:val="00E3150E"/>
    <w:rsid w:val="00E337D9"/>
    <w:rsid w:val="00E33E73"/>
    <w:rsid w:val="00E348DF"/>
    <w:rsid w:val="00E34B5C"/>
    <w:rsid w:val="00E34E37"/>
    <w:rsid w:val="00E3728D"/>
    <w:rsid w:val="00E37FC4"/>
    <w:rsid w:val="00E41F8F"/>
    <w:rsid w:val="00E52171"/>
    <w:rsid w:val="00E525D9"/>
    <w:rsid w:val="00E55574"/>
    <w:rsid w:val="00E5772F"/>
    <w:rsid w:val="00E8284A"/>
    <w:rsid w:val="00E85EF8"/>
    <w:rsid w:val="00EA1ABF"/>
    <w:rsid w:val="00EA2A6C"/>
    <w:rsid w:val="00EA45F1"/>
    <w:rsid w:val="00EB555D"/>
    <w:rsid w:val="00EC43BC"/>
    <w:rsid w:val="00ED7110"/>
    <w:rsid w:val="00EF2A4A"/>
    <w:rsid w:val="00EF4759"/>
    <w:rsid w:val="00F027AD"/>
    <w:rsid w:val="00F06B58"/>
    <w:rsid w:val="00F0785E"/>
    <w:rsid w:val="00F11338"/>
    <w:rsid w:val="00F14034"/>
    <w:rsid w:val="00F1494E"/>
    <w:rsid w:val="00F204D3"/>
    <w:rsid w:val="00F21A08"/>
    <w:rsid w:val="00F30D68"/>
    <w:rsid w:val="00F32F9B"/>
    <w:rsid w:val="00F335F7"/>
    <w:rsid w:val="00F34F18"/>
    <w:rsid w:val="00F3560D"/>
    <w:rsid w:val="00F52317"/>
    <w:rsid w:val="00F5579A"/>
    <w:rsid w:val="00F57F88"/>
    <w:rsid w:val="00F612AA"/>
    <w:rsid w:val="00F632AA"/>
    <w:rsid w:val="00F66F46"/>
    <w:rsid w:val="00F70B32"/>
    <w:rsid w:val="00F74A6D"/>
    <w:rsid w:val="00F754CA"/>
    <w:rsid w:val="00F769E8"/>
    <w:rsid w:val="00F83772"/>
    <w:rsid w:val="00F85BF3"/>
    <w:rsid w:val="00F90971"/>
    <w:rsid w:val="00FA0B29"/>
    <w:rsid w:val="00FC7B16"/>
    <w:rsid w:val="00FD68A7"/>
    <w:rsid w:val="00FE7AAA"/>
    <w:rsid w:val="00FF04AD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D5246"/>
  <w15:chartTrackingRefBased/>
  <w15:docId w15:val="{C64021E7-9CF1-41AF-9A54-B18B24CC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F3E"/>
    <w:pPr>
      <w:spacing w:line="25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530D4"/>
    <w:rPr>
      <w:color w:val="0000FF"/>
      <w:u w:val="single"/>
    </w:rPr>
  </w:style>
  <w:style w:type="paragraph" w:styleId="Bezproreda">
    <w:name w:val="No Spacing"/>
    <w:uiPriority w:val="1"/>
    <w:qFormat/>
    <w:rsid w:val="002530D4"/>
    <w:pPr>
      <w:spacing w:after="0" w:line="240" w:lineRule="auto"/>
      <w:jc w:val="both"/>
    </w:pPr>
    <w:rPr>
      <w:rFonts w:ascii="Arial" w:hAnsi="Arial"/>
      <w:sz w:val="24"/>
    </w:rPr>
  </w:style>
  <w:style w:type="paragraph" w:styleId="Odlomakpopisa">
    <w:name w:val="List Paragraph"/>
    <w:basedOn w:val="Normal"/>
    <w:uiPriority w:val="34"/>
    <w:qFormat/>
    <w:rsid w:val="00DC2F82"/>
    <w:pPr>
      <w:ind w:left="720"/>
      <w:contextualSpacing/>
    </w:pPr>
  </w:style>
  <w:style w:type="paragraph" w:customStyle="1" w:styleId="Default">
    <w:name w:val="Default"/>
    <w:rsid w:val="00DC2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DC2F8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837E2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  <w:style w:type="paragraph" w:styleId="Zaglavlje">
    <w:name w:val="header"/>
    <w:basedOn w:val="Normal"/>
    <w:link w:val="ZaglavljeChar"/>
    <w:uiPriority w:val="99"/>
    <w:unhideWhenUsed/>
    <w:rsid w:val="00E06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64B8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E06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64B8"/>
    <w:rPr>
      <w:rFonts w:ascii="Times New Roman" w:hAnsi="Times New Roman"/>
      <w:sz w:val="24"/>
    </w:rPr>
  </w:style>
  <w:style w:type="paragraph" w:styleId="Uvuenotijeloteksta">
    <w:name w:val="Body Text Indent"/>
    <w:basedOn w:val="Normal"/>
    <w:link w:val="UvuenotijelotekstaChar"/>
    <w:rsid w:val="00515338"/>
    <w:pPr>
      <w:spacing w:after="0" w:line="240" w:lineRule="auto"/>
      <w:ind w:firstLine="708"/>
      <w:jc w:val="both"/>
    </w:pPr>
    <w:rPr>
      <w:rFonts w:eastAsia="Times New Roman" w:cs="Times New Roman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51533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3096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9412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90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7977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7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63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8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5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0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5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35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0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0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66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84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276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1179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4177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1487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9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4908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75532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7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8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16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7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83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7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0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67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393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168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02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2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360410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laskiputi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1F2F0-C08D-4D8B-AB8F-E36FB9FD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5386</Words>
  <Characters>30702</Characters>
  <Application>Microsoft Office Word</Application>
  <DocSecurity>0</DocSecurity>
  <Lines>255</Lines>
  <Paragraphs>72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korina.ilijevic@gmail.com</dc:creator>
  <cp:keywords/>
  <dc:description/>
  <cp:lastModifiedBy>Interpretacijski centar Vlaški puti</cp:lastModifiedBy>
  <cp:revision>2</cp:revision>
  <cp:lastPrinted>2025-03-28T11:51:00Z</cp:lastPrinted>
  <dcterms:created xsi:type="dcterms:W3CDTF">2026-04-13T09:39:00Z</dcterms:created>
  <dcterms:modified xsi:type="dcterms:W3CDTF">2026-04-13T09:39:00Z</dcterms:modified>
</cp:coreProperties>
</file>