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1E6" w:rsidRDefault="00177C47">
      <w:pPr>
        <w:spacing w:after="0" w:line="240" w:lineRule="auto"/>
        <w:rPr>
          <w:b/>
          <w:lang w:val="hr-HR"/>
        </w:rPr>
      </w:pPr>
      <w:r>
        <w:rPr>
          <w:b/>
          <w:lang w:val="hr-HR"/>
        </w:rPr>
        <w:t>Javna ustanova Interpretacijski centar Vlaški puti</w:t>
      </w:r>
    </w:p>
    <w:p w:rsidR="008111E6" w:rsidRDefault="00177C47">
      <w:pPr>
        <w:spacing w:after="0" w:line="240" w:lineRule="auto"/>
        <w:rPr>
          <w:lang w:val="hr-HR"/>
        </w:rPr>
      </w:pPr>
      <w:r>
        <w:rPr>
          <w:lang w:val="hr-HR"/>
        </w:rPr>
        <w:t>Šušnjevica 6, 52233 Šušnjevica,</w:t>
      </w:r>
    </w:p>
    <w:p w:rsidR="008111E6" w:rsidRDefault="00177C47">
      <w:pPr>
        <w:spacing w:after="0" w:line="240" w:lineRule="auto"/>
        <w:rPr>
          <w:lang w:val="hr-HR"/>
        </w:rPr>
      </w:pPr>
      <w:r>
        <w:rPr>
          <w:lang w:val="hr-HR"/>
        </w:rPr>
        <w:t>T.+385(0)52 743 662</w:t>
      </w:r>
    </w:p>
    <w:p w:rsidR="008111E6" w:rsidRDefault="00177C47">
      <w:pPr>
        <w:spacing w:after="0" w:line="240" w:lineRule="auto"/>
        <w:rPr>
          <w:lang w:val="hr-HR"/>
        </w:rPr>
      </w:pPr>
      <w:hyperlink r:id="rId6">
        <w:r>
          <w:rPr>
            <w:rStyle w:val="Hiperveza"/>
            <w:lang w:val="hr-HR"/>
          </w:rPr>
          <w:t>Info@vlaskiputi.com</w:t>
        </w:r>
      </w:hyperlink>
      <w:r>
        <w:rPr>
          <w:lang w:val="hr-HR"/>
        </w:rPr>
        <w:t xml:space="preserve"> </w:t>
      </w:r>
      <w:r>
        <w:rPr>
          <w:lang w:val="hr-HR"/>
        </w:rPr>
        <w:tab/>
      </w:r>
    </w:p>
    <w:p w:rsidR="008111E6" w:rsidRDefault="00177C47">
      <w:pPr>
        <w:spacing w:after="0" w:line="240" w:lineRule="auto"/>
        <w:rPr>
          <w:lang w:val="hr-HR"/>
        </w:rPr>
      </w:pPr>
      <w:hyperlink r:id="rId7">
        <w:r>
          <w:rPr>
            <w:rStyle w:val="Hiperveza"/>
            <w:lang w:val="hr-HR"/>
          </w:rPr>
          <w:t>www.vlaskiputi.com</w:t>
        </w:r>
      </w:hyperlink>
    </w:p>
    <w:p w:rsidR="008111E6" w:rsidRDefault="00177C47">
      <w:pPr>
        <w:spacing w:after="0" w:line="240" w:lineRule="auto"/>
        <w:rPr>
          <w:lang w:val="hr-HR"/>
        </w:rPr>
      </w:pPr>
      <w:r>
        <w:rPr>
          <w:lang w:val="hr-HR"/>
        </w:rPr>
        <w:t>OIB 60281760668</w:t>
      </w:r>
      <w:r>
        <w:rPr>
          <w:lang w:val="hr-HR"/>
        </w:rPr>
        <w:tab/>
      </w:r>
      <w:r>
        <w:rPr>
          <w:lang w:val="hr-HR"/>
        </w:rPr>
        <w:t xml:space="preserve">IBAN HR9423400091111135671 </w:t>
      </w:r>
    </w:p>
    <w:p w:rsidR="008111E6" w:rsidRDefault="008111E6">
      <w:pPr>
        <w:spacing w:after="160" w:line="259" w:lineRule="auto"/>
        <w:rPr>
          <w:lang w:val="hr-HR"/>
        </w:rPr>
      </w:pPr>
    </w:p>
    <w:p w:rsidR="008111E6" w:rsidRDefault="00177C47">
      <w:pPr>
        <w:spacing w:after="160" w:line="259" w:lineRule="auto"/>
        <w:rPr>
          <w:lang w:val="hr-HR"/>
        </w:rPr>
      </w:pPr>
      <w:r>
        <w:rPr>
          <w:lang w:val="hr-HR"/>
        </w:rPr>
        <w:t>Naziv obveznika: Interpretacijski centar Vlaški puti</w:t>
      </w:r>
    </w:p>
    <w:p w:rsidR="008111E6" w:rsidRDefault="00177C47">
      <w:pPr>
        <w:spacing w:after="160" w:line="259" w:lineRule="auto"/>
        <w:rPr>
          <w:lang w:val="hr-HR"/>
        </w:rPr>
      </w:pPr>
      <w:r>
        <w:rPr>
          <w:lang w:val="hr-HR"/>
        </w:rPr>
        <w:t xml:space="preserve">Broj RKP – a: </w:t>
      </w:r>
      <w:r w:rsidR="009370A5">
        <w:rPr>
          <w:lang w:val="hr-HR"/>
        </w:rPr>
        <w:t>52178</w:t>
      </w:r>
    </w:p>
    <w:p w:rsidR="008111E6" w:rsidRDefault="00177C47">
      <w:pPr>
        <w:spacing w:after="160" w:line="259" w:lineRule="auto"/>
        <w:rPr>
          <w:lang w:val="hr-HR"/>
        </w:rPr>
      </w:pPr>
      <w:r>
        <w:rPr>
          <w:lang w:val="hr-HR"/>
        </w:rPr>
        <w:t>Sjedište obveznika: Kršan</w:t>
      </w:r>
    </w:p>
    <w:p w:rsidR="008111E6" w:rsidRDefault="00177C47">
      <w:pPr>
        <w:spacing w:after="160" w:line="259" w:lineRule="auto"/>
        <w:rPr>
          <w:lang w:val="hr-HR"/>
        </w:rPr>
      </w:pPr>
      <w:r>
        <w:rPr>
          <w:lang w:val="hr-HR"/>
        </w:rPr>
        <w:t xml:space="preserve">Matični broj: </w:t>
      </w:r>
      <w:r w:rsidR="00BB0424">
        <w:rPr>
          <w:lang w:val="hr-HR"/>
        </w:rPr>
        <w:t>05413010</w:t>
      </w:r>
    </w:p>
    <w:p w:rsidR="008111E6" w:rsidRDefault="00177C47">
      <w:pPr>
        <w:spacing w:after="160" w:line="259" w:lineRule="auto"/>
        <w:rPr>
          <w:lang w:val="hr-HR"/>
        </w:rPr>
      </w:pPr>
      <w:r>
        <w:rPr>
          <w:lang w:val="hr-HR"/>
        </w:rPr>
        <w:t>Adresa sjedišta obveznika: Šušnjevica 6</w:t>
      </w:r>
    </w:p>
    <w:p w:rsidR="008111E6" w:rsidRDefault="00177C47">
      <w:pPr>
        <w:spacing w:after="160" w:line="259" w:lineRule="auto"/>
        <w:rPr>
          <w:lang w:val="hr-HR"/>
        </w:rPr>
      </w:pPr>
      <w:r>
        <w:rPr>
          <w:lang w:val="hr-HR"/>
        </w:rPr>
        <w:t>OIB: 60281760668</w:t>
      </w:r>
    </w:p>
    <w:p w:rsidR="008111E6" w:rsidRDefault="008111E6">
      <w:pPr>
        <w:spacing w:after="160" w:line="259" w:lineRule="auto"/>
        <w:rPr>
          <w:lang w:val="hr-HR"/>
        </w:rPr>
      </w:pPr>
    </w:p>
    <w:p w:rsidR="008111E6" w:rsidRDefault="00177C47">
      <w:pPr>
        <w:spacing w:after="160" w:line="259" w:lineRule="auto"/>
        <w:rPr>
          <w:lang w:val="hr-HR"/>
        </w:rPr>
      </w:pPr>
      <w:r>
        <w:rPr>
          <w:lang w:val="hr-HR"/>
        </w:rPr>
        <w:t xml:space="preserve">Razina: </w:t>
      </w:r>
      <w:r w:rsidR="00BB0424">
        <w:rPr>
          <w:lang w:val="hr-HR"/>
        </w:rPr>
        <w:t>21</w:t>
      </w:r>
    </w:p>
    <w:p w:rsidR="008111E6" w:rsidRDefault="00177C47">
      <w:pPr>
        <w:spacing w:after="160" w:line="259" w:lineRule="auto"/>
        <w:rPr>
          <w:lang w:val="hr-HR"/>
        </w:rPr>
      </w:pPr>
      <w:r>
        <w:rPr>
          <w:lang w:val="hr-HR"/>
        </w:rPr>
        <w:t xml:space="preserve">Šifra djelatnosti: </w:t>
      </w:r>
      <w:r w:rsidR="00BB0424">
        <w:rPr>
          <w:lang w:val="hr-HR"/>
        </w:rPr>
        <w:t>4778</w:t>
      </w:r>
    </w:p>
    <w:p w:rsidR="008111E6" w:rsidRDefault="00177C47">
      <w:pPr>
        <w:spacing w:after="160" w:line="259" w:lineRule="auto"/>
        <w:rPr>
          <w:lang w:val="hr-HR"/>
        </w:rPr>
      </w:pPr>
      <w:r>
        <w:rPr>
          <w:lang w:val="hr-HR"/>
        </w:rPr>
        <w:t>Razdjel: 000</w:t>
      </w:r>
    </w:p>
    <w:p w:rsidR="008111E6" w:rsidRDefault="00177C47">
      <w:pPr>
        <w:spacing w:after="160" w:line="259" w:lineRule="auto"/>
        <w:rPr>
          <w:lang w:val="hr-HR"/>
        </w:rPr>
      </w:pPr>
      <w:r>
        <w:rPr>
          <w:lang w:val="hr-HR"/>
        </w:rPr>
        <w:t>Šifra općine: 217</w:t>
      </w:r>
    </w:p>
    <w:p w:rsidR="008111E6" w:rsidRDefault="00177C47">
      <w:pPr>
        <w:spacing w:after="160" w:line="259" w:lineRule="auto"/>
        <w:rPr>
          <w:lang w:val="hr-HR"/>
        </w:rPr>
      </w:pPr>
      <w:r>
        <w:rPr>
          <w:lang w:val="hr-HR"/>
        </w:rPr>
        <w:t>IBAN: HR9423400091111135671</w:t>
      </w:r>
    </w:p>
    <w:p w:rsidR="008111E6" w:rsidRDefault="00177C47">
      <w:pPr>
        <w:spacing w:line="259" w:lineRule="auto"/>
        <w:rPr>
          <w:b/>
          <w:bCs/>
          <w:lang w:val="hr-HR"/>
        </w:rPr>
      </w:pPr>
      <w:r>
        <w:rPr>
          <w:b/>
          <w:bCs/>
          <w:lang w:val="hr-HR"/>
        </w:rPr>
        <w:t>Bilješke uz Financijske izvještaje za razdoblje od 01. siječnja do 31. prosinac 2024. godine</w:t>
      </w:r>
    </w:p>
    <w:p w:rsidR="008111E6" w:rsidRDefault="00177C47">
      <w:pPr>
        <w:spacing w:line="259" w:lineRule="auto"/>
        <w:rPr>
          <w:b/>
          <w:bCs/>
          <w:lang w:val="hr-HR"/>
        </w:rPr>
      </w:pPr>
      <w:r>
        <w:rPr>
          <w:b/>
          <w:bCs/>
          <w:lang w:val="hr-HR"/>
        </w:rPr>
        <w:t>UVOD</w:t>
      </w:r>
    </w:p>
    <w:p w:rsidR="008111E6" w:rsidRDefault="00177C47">
      <w:pPr>
        <w:jc w:val="both"/>
      </w:pPr>
      <w:proofErr w:type="spellStart"/>
      <w:r>
        <w:rPr>
          <w:rFonts w:eastAsia="Times New Roman" w:cstheme="minorHAnsi"/>
          <w:lang w:eastAsia="hr-HR"/>
        </w:rPr>
        <w:t>Interpretacijski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centar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Vlaški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puti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t>javna</w:t>
      </w:r>
      <w:proofErr w:type="spellEnd"/>
      <w:r>
        <w:t xml:space="preserve"> </w:t>
      </w:r>
      <w:r>
        <w:rPr>
          <w:rFonts w:eastAsia="Times New Roman" w:cstheme="minorHAnsi"/>
          <w:lang w:eastAsia="hr-HR"/>
        </w:rPr>
        <w:t xml:space="preserve">je </w:t>
      </w:r>
      <w:proofErr w:type="spellStart"/>
      <w:r>
        <w:t>kulturna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promiče</w:t>
      </w:r>
      <w:proofErr w:type="spellEnd"/>
      <w:r>
        <w:t xml:space="preserve"> </w:t>
      </w:r>
      <w:proofErr w:type="spellStart"/>
      <w:r>
        <w:t>materijalnu</w:t>
      </w:r>
      <w:proofErr w:type="spellEnd"/>
      <w:r>
        <w:t xml:space="preserve">, </w:t>
      </w:r>
      <w:proofErr w:type="spellStart"/>
      <w:r>
        <w:t>nematerijalnu</w:t>
      </w:r>
      <w:proofErr w:type="spellEnd"/>
      <w:r>
        <w:t xml:space="preserve"> </w:t>
      </w:r>
      <w:proofErr w:type="spellStart"/>
      <w:r>
        <w:t>kulturnu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prir</w:t>
      </w:r>
      <w:r>
        <w:t>odnu</w:t>
      </w:r>
      <w:proofErr w:type="spellEnd"/>
      <w:r>
        <w:t xml:space="preserve"> </w:t>
      </w:r>
      <w:proofErr w:type="spellStart"/>
      <w:r>
        <w:t>baštinu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</w:t>
      </w:r>
      <w:proofErr w:type="spellStart"/>
      <w:r>
        <w:t>Kršan</w:t>
      </w:r>
      <w:proofErr w:type="spellEnd"/>
      <w:r>
        <w:t xml:space="preserve">. </w:t>
      </w:r>
      <w:proofErr w:type="spellStart"/>
      <w:r>
        <w:t>Interpretacijski</w:t>
      </w:r>
      <w:proofErr w:type="spellEnd"/>
      <w:r>
        <w:t xml:space="preserve"> </w:t>
      </w:r>
      <w:proofErr w:type="spellStart"/>
      <w:r>
        <w:t>centar</w:t>
      </w:r>
      <w:proofErr w:type="spellEnd"/>
      <w:r>
        <w:t xml:space="preserve"> </w:t>
      </w:r>
      <w:proofErr w:type="spellStart"/>
      <w:r>
        <w:t>Vlaški</w:t>
      </w:r>
      <w:proofErr w:type="spellEnd"/>
      <w:r>
        <w:t xml:space="preserve"> </w:t>
      </w:r>
      <w:proofErr w:type="spellStart"/>
      <w:r>
        <w:t>puti</w:t>
      </w:r>
      <w:proofErr w:type="spellEnd"/>
      <w:r>
        <w:t xml:space="preserve"> </w:t>
      </w:r>
      <w:proofErr w:type="spellStart"/>
      <w:r>
        <w:t>sastavni</w:t>
      </w:r>
      <w:proofErr w:type="spellEnd"/>
      <w:r>
        <w:t xml:space="preserve"> je </w:t>
      </w:r>
      <w:proofErr w:type="spellStart"/>
      <w:r>
        <w:t>dio</w:t>
      </w:r>
      <w:proofErr w:type="spellEnd"/>
      <w:r>
        <w:t xml:space="preserve"> </w:t>
      </w:r>
      <w:proofErr w:type="spellStart"/>
      <w:r>
        <w:t>koncepta</w:t>
      </w:r>
      <w:proofErr w:type="spellEnd"/>
      <w:r>
        <w:t xml:space="preserve"> „Ekomuzej </w:t>
      </w:r>
      <w:proofErr w:type="spellStart"/>
      <w:r>
        <w:t>Vlaški</w:t>
      </w:r>
      <w:proofErr w:type="spellEnd"/>
      <w:r>
        <w:t xml:space="preserve"> </w:t>
      </w:r>
      <w:proofErr w:type="spellStart"/>
      <w:r>
        <w:t>puti</w:t>
      </w:r>
      <w:proofErr w:type="spellEnd"/>
      <w:r>
        <w:t xml:space="preserve">“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valorizacije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prezentacije</w:t>
      </w:r>
      <w:proofErr w:type="spellEnd"/>
      <w:r>
        <w:t xml:space="preserve"> </w:t>
      </w:r>
      <w:proofErr w:type="spellStart"/>
      <w:r>
        <w:t>društvene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tradicijske</w:t>
      </w:r>
      <w:proofErr w:type="spellEnd"/>
      <w:r>
        <w:t xml:space="preserve"> </w:t>
      </w:r>
      <w:proofErr w:type="spellStart"/>
      <w:r>
        <w:t>kulture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povijesti</w:t>
      </w:r>
      <w:proofErr w:type="spellEnd"/>
      <w:r>
        <w:t xml:space="preserve"> </w:t>
      </w:r>
      <w:proofErr w:type="spellStart"/>
      <w:r>
        <w:t>Šušnjevice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okolice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konc</w:t>
      </w:r>
      <w:r>
        <w:t>ept</w:t>
      </w:r>
      <w:proofErr w:type="spellEnd"/>
      <w:r>
        <w:t xml:space="preserve"> </w:t>
      </w:r>
      <w:proofErr w:type="spellStart"/>
      <w:r>
        <w:t>kulturnog</w:t>
      </w:r>
      <w:proofErr w:type="spellEnd"/>
      <w:r>
        <w:t xml:space="preserve"> </w:t>
      </w:r>
      <w:proofErr w:type="spellStart"/>
      <w:r>
        <w:t>krajolika</w:t>
      </w:r>
      <w:proofErr w:type="spellEnd"/>
      <w:r>
        <w:t xml:space="preserve">. </w:t>
      </w:r>
      <w:proofErr w:type="spellStart"/>
      <w:r>
        <w:t>Sastoji</w:t>
      </w:r>
      <w:proofErr w:type="spellEnd"/>
      <w:r>
        <w:t xml:space="preserve"> se od </w:t>
      </w:r>
      <w:proofErr w:type="spellStart"/>
      <w:r>
        <w:t>interpretacijskog</w:t>
      </w:r>
      <w:proofErr w:type="spellEnd"/>
      <w:r>
        <w:t xml:space="preserve"> </w:t>
      </w:r>
      <w:proofErr w:type="spellStart"/>
      <w:r>
        <w:t>centra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medijateke</w:t>
      </w:r>
      <w:proofErr w:type="spellEnd"/>
      <w:r>
        <w:t xml:space="preserve"> </w:t>
      </w:r>
      <w:proofErr w:type="spellStart"/>
      <w:r>
        <w:t>smještenih</w:t>
      </w:r>
      <w:proofErr w:type="spellEnd"/>
      <w:r>
        <w:t xml:space="preserve"> u </w:t>
      </w:r>
      <w:proofErr w:type="spellStart"/>
      <w:r>
        <w:t>staroj</w:t>
      </w:r>
      <w:proofErr w:type="spellEnd"/>
      <w:r>
        <w:t xml:space="preserve">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pješačkih</w:t>
      </w:r>
      <w:proofErr w:type="spellEnd"/>
      <w:r>
        <w:t xml:space="preserve"> </w:t>
      </w:r>
      <w:proofErr w:type="spellStart"/>
      <w:r>
        <w:t>tematskih</w:t>
      </w:r>
      <w:proofErr w:type="spellEnd"/>
      <w:r>
        <w:t xml:space="preserve"> </w:t>
      </w:r>
      <w:proofErr w:type="spellStart"/>
      <w:r>
        <w:t>staza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Park </w:t>
      </w:r>
      <w:proofErr w:type="spellStart"/>
      <w:r>
        <w:t>prirode</w:t>
      </w:r>
      <w:proofErr w:type="spellEnd"/>
      <w:r>
        <w:t xml:space="preserve"> „</w:t>
      </w:r>
      <w:proofErr w:type="spellStart"/>
      <w:r>
        <w:t>Učka</w:t>
      </w:r>
      <w:proofErr w:type="spellEnd"/>
      <w:r>
        <w:t xml:space="preserve">“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direktno</w:t>
      </w:r>
      <w:proofErr w:type="spellEnd"/>
      <w:r>
        <w:t xml:space="preserve"> </w:t>
      </w:r>
      <w:proofErr w:type="spellStart"/>
      <w:r>
        <w:t>vezane</w:t>
      </w:r>
      <w:proofErr w:type="spellEnd"/>
      <w:r>
        <w:t xml:space="preserve"> za </w:t>
      </w:r>
      <w:proofErr w:type="spellStart"/>
      <w:r>
        <w:t>život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>.</w:t>
      </w:r>
    </w:p>
    <w:p w:rsidR="008111E6" w:rsidRDefault="00177C47">
      <w:pPr>
        <w:jc w:val="both"/>
        <w:rPr>
          <w:rFonts w:ascii="Calibri" w:hAnsi="Calibri" w:cs="Calibri"/>
          <w:b/>
        </w:rPr>
      </w:pPr>
      <w:proofErr w:type="spellStart"/>
      <w:r>
        <w:rPr>
          <w:rFonts w:cs="Calibri"/>
        </w:rPr>
        <w:t>Projektom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Ekomuzeja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Vlaški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puti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želi</w:t>
      </w:r>
      <w:proofErr w:type="spellEnd"/>
      <w:r>
        <w:rPr>
          <w:rFonts w:cs="Calibri"/>
        </w:rPr>
        <w:t xml:space="preserve"> se </w:t>
      </w:r>
      <w:proofErr w:type="spellStart"/>
      <w:r>
        <w:rPr>
          <w:rFonts w:cs="Calibri"/>
        </w:rPr>
        <w:t>utjecati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njegu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lokalnih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kulturnih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izričaja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društvenu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koheziju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ali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uz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adekvatnu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implementaciju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projekt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će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utjecati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zapošljavanje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zadržavanje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i</w:t>
      </w:r>
      <w:proofErr w:type="spellEnd"/>
      <w:r>
        <w:rPr>
          <w:rFonts w:cs="Calibri"/>
        </w:rPr>
        <w:t>/</w:t>
      </w:r>
      <w:proofErr w:type="spellStart"/>
      <w:r>
        <w:rPr>
          <w:rFonts w:cs="Calibri"/>
        </w:rPr>
        <w:t>ili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vraćanje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mlađih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osoba</w:t>
      </w:r>
      <w:proofErr w:type="spellEnd"/>
      <w:r>
        <w:rPr>
          <w:rFonts w:cs="Calibri"/>
        </w:rPr>
        <w:t xml:space="preserve"> u </w:t>
      </w:r>
      <w:proofErr w:type="spellStart"/>
      <w:r>
        <w:rPr>
          <w:rFonts w:cs="Calibri"/>
        </w:rPr>
        <w:t>naselje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te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gospodarski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razvoj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prije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svega</w:t>
      </w:r>
      <w:proofErr w:type="spellEnd"/>
      <w:r>
        <w:rPr>
          <w:rFonts w:cs="Calibri"/>
        </w:rPr>
        <w:t xml:space="preserve"> u </w:t>
      </w:r>
      <w:proofErr w:type="spellStart"/>
      <w:r>
        <w:rPr>
          <w:rFonts w:cs="Calibri"/>
        </w:rPr>
        <w:t>vidu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turističkih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uslug</w:t>
      </w:r>
      <w:r>
        <w:rPr>
          <w:rFonts w:cs="Calibri"/>
        </w:rPr>
        <w:t>a</w:t>
      </w:r>
      <w:proofErr w:type="spellEnd"/>
      <w:r>
        <w:rPr>
          <w:rFonts w:cs="Calibri"/>
        </w:rPr>
        <w:t>.</w:t>
      </w:r>
    </w:p>
    <w:p w:rsidR="008111E6" w:rsidRDefault="00177C47">
      <w:pPr>
        <w:jc w:val="both"/>
      </w:pPr>
      <w:proofErr w:type="spellStart"/>
      <w:r>
        <w:t>Javna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Interpretacijski</w:t>
      </w:r>
      <w:proofErr w:type="spellEnd"/>
      <w:r>
        <w:t xml:space="preserve"> </w:t>
      </w:r>
      <w:proofErr w:type="spellStart"/>
      <w:r>
        <w:t>centar</w:t>
      </w:r>
      <w:proofErr w:type="spellEnd"/>
      <w:r>
        <w:t xml:space="preserve"> </w:t>
      </w:r>
      <w:proofErr w:type="spellStart"/>
      <w:r>
        <w:t>Vlaški</w:t>
      </w:r>
      <w:proofErr w:type="spellEnd"/>
      <w:r>
        <w:t xml:space="preserve"> </w:t>
      </w:r>
      <w:proofErr w:type="spellStart"/>
      <w:r>
        <w:t>puti</w:t>
      </w:r>
      <w:proofErr w:type="spellEnd"/>
      <w:r>
        <w:t xml:space="preserve"> </w:t>
      </w:r>
      <w:proofErr w:type="spellStart"/>
      <w:r>
        <w:t>osnovana</w:t>
      </w:r>
      <w:proofErr w:type="spellEnd"/>
      <w:r>
        <w:t xml:space="preserve"> je 22. </w:t>
      </w:r>
      <w:proofErr w:type="spellStart"/>
      <w:r>
        <w:t>veljače</w:t>
      </w:r>
      <w:proofErr w:type="spellEnd"/>
      <w:r>
        <w:t xml:space="preserve"> 2021. </w:t>
      </w:r>
      <w:proofErr w:type="spellStart"/>
      <w:r>
        <w:t>godine</w:t>
      </w:r>
      <w:proofErr w:type="spellEnd"/>
      <w:r>
        <w:t xml:space="preserve">, a za </w:t>
      </w:r>
      <w:proofErr w:type="spellStart"/>
      <w:r>
        <w:t>posjetitelje</w:t>
      </w:r>
      <w:proofErr w:type="spellEnd"/>
      <w:r>
        <w:t xml:space="preserve"> je </w:t>
      </w:r>
      <w:proofErr w:type="spellStart"/>
      <w:r>
        <w:t>otvorena</w:t>
      </w:r>
      <w:proofErr w:type="spellEnd"/>
      <w:r>
        <w:t xml:space="preserve"> 5. </w:t>
      </w:r>
      <w:proofErr w:type="spellStart"/>
      <w:r>
        <w:t>srpnja</w:t>
      </w:r>
      <w:proofErr w:type="spellEnd"/>
      <w:r>
        <w:t xml:space="preserve"> 2021. </w:t>
      </w:r>
      <w:proofErr w:type="spellStart"/>
      <w:r>
        <w:t>godine</w:t>
      </w:r>
      <w:proofErr w:type="spellEnd"/>
      <w:r>
        <w:t xml:space="preserve">. </w:t>
      </w:r>
      <w:proofErr w:type="spellStart"/>
      <w:r>
        <w:t>Osnivač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je </w:t>
      </w:r>
      <w:proofErr w:type="spellStart"/>
      <w:r>
        <w:t>Općina</w:t>
      </w:r>
      <w:proofErr w:type="spellEnd"/>
      <w:r>
        <w:t xml:space="preserve"> </w:t>
      </w:r>
      <w:proofErr w:type="spellStart"/>
      <w:r>
        <w:t>Kršan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proračunski</w:t>
      </w:r>
      <w:proofErr w:type="spellEnd"/>
      <w:r>
        <w:t xml:space="preserve"> </w:t>
      </w:r>
      <w:proofErr w:type="spellStart"/>
      <w:r>
        <w:t>korisnik</w:t>
      </w:r>
      <w:proofErr w:type="spellEnd"/>
      <w:r>
        <w:t xml:space="preserve">  </w:t>
      </w:r>
      <w:proofErr w:type="spellStart"/>
      <w:r>
        <w:t>Općine</w:t>
      </w:r>
      <w:proofErr w:type="spellEnd"/>
      <w:r>
        <w:t xml:space="preserve"> </w:t>
      </w:r>
      <w:proofErr w:type="spellStart"/>
      <w:r>
        <w:t>Kršan</w:t>
      </w:r>
      <w:proofErr w:type="spellEnd"/>
      <w:r>
        <w:t xml:space="preserve"> </w:t>
      </w:r>
      <w:proofErr w:type="spellStart"/>
      <w:r>
        <w:t>prihode</w:t>
      </w:r>
      <w:proofErr w:type="spellEnd"/>
      <w:r>
        <w:t xml:space="preserve"> za </w:t>
      </w:r>
      <w:proofErr w:type="spellStart"/>
      <w:r>
        <w:t>redovno</w:t>
      </w:r>
      <w:proofErr w:type="spellEnd"/>
      <w:r>
        <w:t xml:space="preserve"> </w:t>
      </w:r>
      <w:proofErr w:type="spellStart"/>
      <w:r>
        <w:t>poslovanje</w:t>
      </w:r>
      <w:proofErr w:type="spellEnd"/>
      <w:r>
        <w:t xml:space="preserve"> </w:t>
      </w:r>
      <w:proofErr w:type="spellStart"/>
      <w:r>
        <w:t>ostva</w:t>
      </w:r>
      <w:r>
        <w:t>ruje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</w:t>
      </w:r>
      <w:proofErr w:type="spellStart"/>
      <w:r>
        <w:t>Kršan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osigurava</w:t>
      </w:r>
      <w:proofErr w:type="spellEnd"/>
      <w:r>
        <w:t xml:space="preserve"> </w:t>
      </w:r>
      <w:proofErr w:type="spellStart"/>
      <w:r>
        <w:t>potrebna</w:t>
      </w:r>
      <w:proofErr w:type="spellEnd"/>
      <w:r>
        <w:t xml:space="preserve"> </w:t>
      </w:r>
      <w:proofErr w:type="spellStart"/>
      <w:r>
        <w:t>financijska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plaće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pokriće</w:t>
      </w:r>
      <w:proofErr w:type="spellEnd"/>
      <w:r>
        <w:t xml:space="preserve"> </w:t>
      </w:r>
      <w:proofErr w:type="spellStart"/>
      <w:r>
        <w:t>režijsko</w:t>
      </w:r>
      <w:proofErr w:type="spellEnd"/>
      <w:r>
        <w:t xml:space="preserve">- </w:t>
      </w:r>
      <w:proofErr w:type="spellStart"/>
      <w:r>
        <w:t>materijalnih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redovnog</w:t>
      </w:r>
      <w:proofErr w:type="spellEnd"/>
      <w:r>
        <w:t xml:space="preserve"> </w:t>
      </w:r>
      <w:proofErr w:type="spellStart"/>
      <w:r>
        <w:t>poslovonja</w:t>
      </w:r>
      <w:proofErr w:type="spellEnd"/>
      <w:r>
        <w:t xml:space="preserve">. </w:t>
      </w:r>
      <w:proofErr w:type="spellStart"/>
      <w:r>
        <w:t>Interpretacijski</w:t>
      </w:r>
      <w:proofErr w:type="spellEnd"/>
      <w:r>
        <w:t xml:space="preserve"> </w:t>
      </w:r>
      <w:proofErr w:type="spellStart"/>
      <w:r>
        <w:t>centar</w:t>
      </w:r>
      <w:proofErr w:type="spellEnd"/>
      <w:r>
        <w:t xml:space="preserve"> </w:t>
      </w:r>
      <w:proofErr w:type="spellStart"/>
      <w:r>
        <w:t>Vlaški</w:t>
      </w:r>
      <w:proofErr w:type="spellEnd"/>
      <w:r>
        <w:t xml:space="preserve"> </w:t>
      </w:r>
      <w:proofErr w:type="spellStart"/>
      <w:r>
        <w:t>puti</w:t>
      </w:r>
      <w:proofErr w:type="spellEnd"/>
      <w:r>
        <w:t xml:space="preserve">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proračunskih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ostvaruje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vlastita</w:t>
      </w:r>
      <w:proofErr w:type="spellEnd"/>
      <w:r>
        <w:t xml:space="preserve"> </w:t>
      </w:r>
      <w:proofErr w:type="spellStart"/>
      <w:r>
        <w:lastRenderedPageBreak/>
        <w:t>sredstva</w:t>
      </w:r>
      <w:proofErr w:type="spellEnd"/>
      <w:r>
        <w:t xml:space="preserve"> </w:t>
      </w:r>
      <w:proofErr w:type="spellStart"/>
      <w:r>
        <w:t>prodajom</w:t>
      </w:r>
      <w:proofErr w:type="spellEnd"/>
      <w:r>
        <w:t xml:space="preserve"> </w:t>
      </w:r>
      <w:proofErr w:type="spellStart"/>
      <w:r>
        <w:t>ulaznica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suvenira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namijenjena</w:t>
      </w:r>
      <w:proofErr w:type="spellEnd"/>
      <w:r>
        <w:t xml:space="preserve"> za </w:t>
      </w:r>
      <w:proofErr w:type="spellStart"/>
      <w:r>
        <w:t>pokriće</w:t>
      </w:r>
      <w:proofErr w:type="spellEnd"/>
      <w:r>
        <w:t xml:space="preserve"> </w:t>
      </w:r>
      <w:proofErr w:type="spellStart"/>
      <w:r>
        <w:t>režijsko-materijalnih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. </w:t>
      </w:r>
      <w:proofErr w:type="spellStart"/>
      <w:r>
        <w:t>Interpretacijski</w:t>
      </w:r>
      <w:proofErr w:type="spellEnd"/>
      <w:r>
        <w:t xml:space="preserve"> </w:t>
      </w:r>
      <w:proofErr w:type="spellStart"/>
      <w:r>
        <w:t>centrar</w:t>
      </w:r>
      <w:proofErr w:type="spellEnd"/>
      <w:r>
        <w:t xml:space="preserve"> u </w:t>
      </w:r>
      <w:proofErr w:type="spellStart"/>
      <w:r>
        <w:t>sklopu</w:t>
      </w:r>
      <w:proofErr w:type="spellEnd"/>
      <w:r>
        <w:t xml:space="preserve">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redovnog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izložbenu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prodaju</w:t>
      </w:r>
      <w:proofErr w:type="spellEnd"/>
      <w:r>
        <w:t xml:space="preserve"> </w:t>
      </w:r>
      <w:proofErr w:type="spellStart"/>
      <w:r>
        <w:t>suvenira</w:t>
      </w:r>
      <w:proofErr w:type="spellEnd"/>
      <w:r>
        <w:t xml:space="preserve">. </w:t>
      </w:r>
    </w:p>
    <w:p w:rsidR="008111E6" w:rsidRDefault="00177C47">
      <w:pPr>
        <w:jc w:val="both"/>
      </w:pPr>
      <w:r>
        <w:t xml:space="preserve">U </w:t>
      </w:r>
      <w:proofErr w:type="spellStart"/>
      <w:r>
        <w:t>Ustanovi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zaposlene</w:t>
      </w:r>
      <w:proofErr w:type="spellEnd"/>
      <w:r>
        <w:t xml:space="preserve"> </w:t>
      </w:r>
      <w:proofErr w:type="spellStart"/>
      <w:r>
        <w:t>dvije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pola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, </w:t>
      </w:r>
      <w:proofErr w:type="spellStart"/>
      <w:r>
        <w:t>ravnatelj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stručni</w:t>
      </w:r>
      <w:proofErr w:type="spellEnd"/>
      <w:r>
        <w:t xml:space="preserve"> </w:t>
      </w:r>
      <w:proofErr w:type="spellStart"/>
      <w:r>
        <w:t>suradnik</w:t>
      </w:r>
      <w:proofErr w:type="spellEnd"/>
      <w:r>
        <w:t>.</w:t>
      </w:r>
    </w:p>
    <w:p w:rsidR="008111E6" w:rsidRDefault="008111E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8111E6" w:rsidRDefault="00177C47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BILJEŠKE UZ OBRAZAC PR-RAS</w:t>
      </w:r>
    </w:p>
    <w:p w:rsidR="008111E6" w:rsidRDefault="00177C47">
      <w:pPr>
        <w:tabs>
          <w:tab w:val="left" w:pos="720"/>
        </w:tabs>
        <w:ind w:firstLine="284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Prihodi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i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primici</w:t>
      </w:r>
      <w:proofErr w:type="spellEnd"/>
    </w:p>
    <w:p w:rsidR="008111E6" w:rsidRDefault="00177C47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6 </w:t>
      </w:r>
      <w:proofErr w:type="spellStart"/>
      <w:r>
        <w:rPr>
          <w:rFonts w:ascii="Arial" w:hAnsi="Arial" w:cs="Arial"/>
          <w:b/>
          <w:sz w:val="20"/>
          <w:szCs w:val="20"/>
        </w:rPr>
        <w:t>Prihodi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od </w:t>
      </w:r>
      <w:proofErr w:type="spellStart"/>
      <w:r>
        <w:rPr>
          <w:rFonts w:ascii="Arial" w:hAnsi="Arial" w:cs="Arial"/>
          <w:b/>
          <w:sz w:val="20"/>
          <w:szCs w:val="20"/>
        </w:rPr>
        <w:t>poslovanja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za 2024. </w:t>
      </w:r>
      <w:proofErr w:type="spellStart"/>
      <w:r>
        <w:rPr>
          <w:rFonts w:ascii="Arial" w:hAnsi="Arial" w:cs="Arial"/>
          <w:sz w:val="20"/>
          <w:szCs w:val="20"/>
        </w:rPr>
        <w:t>godinu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ostvareni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su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visini</w:t>
      </w:r>
      <w:proofErr w:type="spellEnd"/>
      <w:r>
        <w:rPr>
          <w:rFonts w:ascii="Arial" w:hAnsi="Arial" w:cs="Arial"/>
          <w:sz w:val="20"/>
          <w:szCs w:val="20"/>
        </w:rPr>
        <w:t xml:space="preserve"> od  60.235,37 </w:t>
      </w:r>
      <w:proofErr w:type="spellStart"/>
      <w:r>
        <w:rPr>
          <w:rFonts w:ascii="Arial" w:hAnsi="Arial" w:cs="Arial"/>
          <w:sz w:val="20"/>
          <w:szCs w:val="20"/>
        </w:rPr>
        <w:t>eura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Vidimo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povećanje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prihoda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odnosu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prošlu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godinu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8111E6" w:rsidRDefault="00177C47">
      <w:p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de-DE" w:eastAsia="hr-HR"/>
        </w:rPr>
        <w:t xml:space="preserve">63 </w:t>
      </w:r>
      <w:r>
        <w:rPr>
          <w:rFonts w:ascii="Arial" w:hAnsi="Arial" w:cs="Arial"/>
          <w:b/>
          <w:bCs/>
          <w:sz w:val="20"/>
          <w:szCs w:val="20"/>
          <w:lang w:val="hr-HR"/>
        </w:rPr>
        <w:t xml:space="preserve">– Pomoći </w:t>
      </w:r>
      <w:r>
        <w:rPr>
          <w:rFonts w:ascii="Arial" w:hAnsi="Arial" w:cs="Arial"/>
          <w:sz w:val="20"/>
          <w:szCs w:val="20"/>
          <w:lang w:val="hr-HR"/>
        </w:rPr>
        <w:t>ukupno iznose 11.100,00 eura. Odnose se na pomoći iz državnog proračuna ( Ministarstvo kulture i medija) za programe Očuvajmo naš jezik i tradiciju i Izrada digitalnih sadržaja na vlaškom jeziku te od Istarske županije UO za kulturu i zavičajnost za financ</w:t>
      </w:r>
      <w:r>
        <w:rPr>
          <w:rFonts w:ascii="Arial" w:hAnsi="Arial" w:cs="Arial"/>
          <w:sz w:val="20"/>
          <w:szCs w:val="20"/>
          <w:lang w:val="hr-HR"/>
        </w:rPr>
        <w:t>iranje programa: Očuvajmo naš jezik i tradiciju, te na pomoći iz proračuna Istarske županije UO za turizam za projekt Nastavak uređenja tematskih staza Putevi kontrabanda te Interpretacijskog centra Vlaški puti..</w:t>
      </w:r>
    </w:p>
    <w:p w:rsidR="008111E6" w:rsidRDefault="00177C47">
      <w:p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b/>
          <w:bCs/>
          <w:sz w:val="20"/>
          <w:szCs w:val="20"/>
          <w:lang w:val="hr-HR"/>
        </w:rPr>
        <w:t>64</w:t>
      </w:r>
      <w:r>
        <w:rPr>
          <w:rFonts w:ascii="Arial" w:hAnsi="Arial" w:cs="Arial"/>
          <w:sz w:val="20"/>
          <w:szCs w:val="20"/>
          <w:lang w:val="hr-HR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hr-HR"/>
        </w:rPr>
        <w:t xml:space="preserve">– Prihodi od imovine </w:t>
      </w:r>
      <w:r>
        <w:rPr>
          <w:rFonts w:ascii="Arial" w:hAnsi="Arial" w:cs="Arial"/>
          <w:sz w:val="20"/>
          <w:szCs w:val="20"/>
          <w:lang w:val="hr-HR"/>
        </w:rPr>
        <w:t>iznose 3,93 eura, a</w:t>
      </w:r>
      <w:r>
        <w:rPr>
          <w:rFonts w:ascii="Arial" w:hAnsi="Arial" w:cs="Arial"/>
          <w:sz w:val="20"/>
          <w:szCs w:val="20"/>
          <w:lang w:val="hr-HR"/>
        </w:rPr>
        <w:t xml:space="preserve"> odnose se na kamate na oročena sredstva i depozite po viđenju.</w:t>
      </w:r>
    </w:p>
    <w:p w:rsidR="008111E6" w:rsidRDefault="00177C47">
      <w:p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b/>
          <w:bCs/>
          <w:sz w:val="20"/>
          <w:szCs w:val="20"/>
          <w:lang w:val="hr-HR"/>
        </w:rPr>
        <w:t>66</w:t>
      </w:r>
      <w:r>
        <w:rPr>
          <w:rFonts w:ascii="Arial" w:hAnsi="Arial" w:cs="Arial"/>
          <w:sz w:val="20"/>
          <w:szCs w:val="20"/>
          <w:lang w:val="hr-HR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hr-HR"/>
        </w:rPr>
        <w:t xml:space="preserve">– Prihodi od prodaje proizvoda i robe te pruženih usluga </w:t>
      </w:r>
      <w:r>
        <w:rPr>
          <w:rFonts w:ascii="Arial" w:hAnsi="Arial" w:cs="Arial"/>
          <w:sz w:val="20"/>
          <w:szCs w:val="20"/>
          <w:lang w:val="hr-HR"/>
        </w:rPr>
        <w:t xml:space="preserve">ostvarena su u iznosu od 2.255,40 eura.  </w:t>
      </w:r>
    </w:p>
    <w:p w:rsidR="008111E6" w:rsidRDefault="00177C47">
      <w:p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b/>
          <w:bCs/>
          <w:i/>
          <w:iCs/>
          <w:lang w:val="hr-HR"/>
        </w:rPr>
        <w:t>67 Prihodi iz nadležnog proračuna</w:t>
      </w:r>
      <w:r>
        <w:rPr>
          <w:b/>
          <w:bCs/>
          <w:lang w:val="hr-HR"/>
        </w:rPr>
        <w:t xml:space="preserve"> </w:t>
      </w:r>
      <w:r>
        <w:rPr>
          <w:lang w:val="hr-HR"/>
        </w:rPr>
        <w:t xml:space="preserve">iznose 46.876,04 eura. </w:t>
      </w:r>
    </w:p>
    <w:p w:rsidR="008111E6" w:rsidRDefault="00177C47">
      <w:pPr>
        <w:spacing w:line="259" w:lineRule="auto"/>
        <w:rPr>
          <w:lang w:val="hr-HR"/>
        </w:rPr>
      </w:pPr>
      <w:r>
        <w:rPr>
          <w:lang w:val="hr-HR"/>
        </w:rPr>
        <w:t>Navedeni iznos općinski proračun</w:t>
      </w:r>
      <w:r>
        <w:rPr>
          <w:lang w:val="hr-HR"/>
        </w:rPr>
        <w:t xml:space="preserve"> je doznačio proračunskom korisniku. Povećanje prihoda najvećim djelom se odnosi na povećanje plaća djelatnicima Interpretacijskog centra Vlaški puti. Do povećanja je došlo jer se povećana osnovica za izračun plaće koja se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hr-HR"/>
        </w:rPr>
        <w:t>uskladila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hr-HR"/>
        </w:rPr>
        <w:t xml:space="preserve"> s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hr-HR"/>
        </w:rPr>
        <w:t>osnovicom</w:t>
      </w:r>
      <w:proofErr w:type="spellEnd"/>
      <w:r>
        <w:rPr>
          <w:rFonts w:cstheme="minorHAnsi"/>
          <w:sz w:val="24"/>
          <w:szCs w:val="24"/>
        </w:rPr>
        <w:t xml:space="preserve"> za </w:t>
      </w:r>
      <w:proofErr w:type="spellStart"/>
      <w:r>
        <w:rPr>
          <w:rFonts w:cstheme="minorHAnsi"/>
          <w:sz w:val="24"/>
          <w:szCs w:val="24"/>
        </w:rPr>
        <w:t>obračun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plaće</w:t>
      </w:r>
      <w:proofErr w:type="spellEnd"/>
      <w:r>
        <w:rPr>
          <w:rFonts w:cstheme="minorHAnsi"/>
          <w:sz w:val="24"/>
          <w:szCs w:val="24"/>
        </w:rPr>
        <w:t xml:space="preserve"> za </w:t>
      </w:r>
      <w:proofErr w:type="spellStart"/>
      <w:r>
        <w:rPr>
          <w:rFonts w:cstheme="minorHAnsi"/>
          <w:sz w:val="24"/>
          <w:szCs w:val="24"/>
        </w:rPr>
        <w:t>službenike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namještenike</w:t>
      </w:r>
      <w:proofErr w:type="spellEnd"/>
      <w:r>
        <w:rPr>
          <w:rFonts w:cstheme="minorHAnsi"/>
          <w:sz w:val="24"/>
          <w:szCs w:val="24"/>
        </w:rPr>
        <w:t xml:space="preserve"> u </w:t>
      </w:r>
      <w:proofErr w:type="spellStart"/>
      <w:r>
        <w:rPr>
          <w:rFonts w:cstheme="minorHAnsi"/>
          <w:sz w:val="24"/>
          <w:szCs w:val="24"/>
        </w:rPr>
        <w:t>Jedinstvenom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upravnom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odjelu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Općine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Kršan</w:t>
      </w:r>
      <w:proofErr w:type="spellEnd"/>
      <w:r>
        <w:rPr>
          <w:rFonts w:cstheme="minorHAnsi"/>
          <w:sz w:val="24"/>
          <w:szCs w:val="24"/>
        </w:rPr>
        <w:t>.</w:t>
      </w:r>
    </w:p>
    <w:p w:rsidR="008111E6" w:rsidRDefault="00177C47">
      <w:pPr>
        <w:spacing w:line="259" w:lineRule="auto"/>
        <w:rPr>
          <w:lang w:val="hr-HR"/>
        </w:rPr>
      </w:pPr>
      <w:r>
        <w:rPr>
          <w:b/>
          <w:lang w:val="hr-HR"/>
        </w:rPr>
        <w:t>Rashodi i izdaci</w:t>
      </w:r>
      <w:r>
        <w:rPr>
          <w:lang w:val="hr-HR"/>
        </w:rPr>
        <w:t xml:space="preserve"> </w:t>
      </w:r>
    </w:p>
    <w:p w:rsidR="008111E6" w:rsidRDefault="00177C47">
      <w:pPr>
        <w:spacing w:line="259" w:lineRule="auto"/>
        <w:rPr>
          <w:lang w:val="hr-HR"/>
        </w:rPr>
      </w:pPr>
      <w:r>
        <w:rPr>
          <w:b/>
          <w:lang w:val="hr-HR"/>
        </w:rPr>
        <w:t xml:space="preserve">3 Ukupni rashodi </w:t>
      </w:r>
      <w:r>
        <w:rPr>
          <w:lang w:val="hr-HR"/>
        </w:rPr>
        <w:t xml:space="preserve">za 2024. godinu iznose 57.353,51 eura. </w:t>
      </w:r>
    </w:p>
    <w:p w:rsidR="008111E6" w:rsidRDefault="00177C47">
      <w:pPr>
        <w:spacing w:line="259" w:lineRule="auto"/>
        <w:rPr>
          <w:lang w:val="hr-HR"/>
        </w:rPr>
      </w:pPr>
      <w:r>
        <w:rPr>
          <w:b/>
          <w:i/>
          <w:iCs/>
          <w:lang w:val="hr-HR"/>
        </w:rPr>
        <w:t>31 Rashodi za zaposlene</w:t>
      </w:r>
      <w:r>
        <w:rPr>
          <w:lang w:val="hr-HR"/>
        </w:rPr>
        <w:t xml:space="preserve"> iznose 42.871,94 eura</w:t>
      </w:r>
      <w:r>
        <w:rPr>
          <w:lang w:val="hr-HR"/>
        </w:rPr>
        <w:t xml:space="preserve">, što je povećanje u odnosu na isto razdoblje prethodne godine. Rashodi su veći u odnosu na prethodnu godinu zbog povećanja plaća od siječnja 2024. godine temeljem usklađenja osnovice za izračun plaće 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 xml:space="preserve">s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hr-HR"/>
        </w:rPr>
        <w:t>osnovicom</w:t>
      </w:r>
      <w:proofErr w:type="spellEnd"/>
      <w:r>
        <w:rPr>
          <w:rFonts w:cstheme="minorHAnsi"/>
          <w:sz w:val="24"/>
          <w:szCs w:val="24"/>
        </w:rPr>
        <w:t xml:space="preserve"> za </w:t>
      </w:r>
      <w:proofErr w:type="spellStart"/>
      <w:r>
        <w:rPr>
          <w:rFonts w:cstheme="minorHAnsi"/>
          <w:sz w:val="24"/>
          <w:szCs w:val="24"/>
        </w:rPr>
        <w:t>obračun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plaće</w:t>
      </w:r>
      <w:proofErr w:type="spellEnd"/>
      <w:r>
        <w:rPr>
          <w:rFonts w:cstheme="minorHAnsi"/>
          <w:sz w:val="24"/>
          <w:szCs w:val="24"/>
        </w:rPr>
        <w:t xml:space="preserve"> za </w:t>
      </w:r>
      <w:proofErr w:type="spellStart"/>
      <w:r>
        <w:rPr>
          <w:rFonts w:cstheme="minorHAnsi"/>
          <w:sz w:val="24"/>
          <w:szCs w:val="24"/>
        </w:rPr>
        <w:t>službenike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namješteni</w:t>
      </w:r>
      <w:r>
        <w:rPr>
          <w:rFonts w:cstheme="minorHAnsi"/>
          <w:sz w:val="24"/>
          <w:szCs w:val="24"/>
        </w:rPr>
        <w:t>ke</w:t>
      </w:r>
      <w:proofErr w:type="spellEnd"/>
      <w:r>
        <w:rPr>
          <w:rFonts w:cstheme="minorHAnsi"/>
          <w:sz w:val="24"/>
          <w:szCs w:val="24"/>
        </w:rPr>
        <w:t xml:space="preserve"> u </w:t>
      </w:r>
      <w:proofErr w:type="spellStart"/>
      <w:r>
        <w:rPr>
          <w:rFonts w:cstheme="minorHAnsi"/>
          <w:sz w:val="24"/>
          <w:szCs w:val="24"/>
        </w:rPr>
        <w:t>Jedinstvenom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upravnom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odjelu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Općine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Kršan</w:t>
      </w:r>
      <w:proofErr w:type="spellEnd"/>
      <w:r>
        <w:rPr>
          <w:lang w:val="hr-HR"/>
        </w:rPr>
        <w:t xml:space="preserve"> . </w:t>
      </w:r>
    </w:p>
    <w:p w:rsidR="008111E6" w:rsidRDefault="00177C47">
      <w:pPr>
        <w:spacing w:line="259" w:lineRule="auto"/>
        <w:rPr>
          <w:lang w:val="hr-HR"/>
        </w:rPr>
      </w:pPr>
      <w:r>
        <w:rPr>
          <w:b/>
          <w:bCs/>
          <w:i/>
          <w:lang w:val="hr-HR"/>
        </w:rPr>
        <w:t>32 Materijalni rashodi</w:t>
      </w:r>
      <w:r>
        <w:rPr>
          <w:b/>
          <w:bCs/>
          <w:iCs/>
          <w:lang w:val="hr-HR"/>
        </w:rPr>
        <w:t xml:space="preserve"> </w:t>
      </w:r>
      <w:r>
        <w:rPr>
          <w:lang w:val="hr-HR"/>
        </w:rPr>
        <w:t>iznose 57.353,51 eura. U usporedbi sa prethodnom godinom, materijalni rashodi su povećani. Unutar materijalnih rashoda pojedine stavke su smanjene, dok su neke povećane ali u konačnic</w:t>
      </w:r>
      <w:r>
        <w:rPr>
          <w:lang w:val="hr-HR"/>
        </w:rPr>
        <w:t>i sveukupno su veći u odnosu na prethodnu godinu.</w:t>
      </w:r>
    </w:p>
    <w:p w:rsidR="008111E6" w:rsidRDefault="008111E6">
      <w:pPr>
        <w:spacing w:line="259" w:lineRule="auto"/>
        <w:rPr>
          <w:lang w:val="hr-HR"/>
        </w:rPr>
      </w:pPr>
    </w:p>
    <w:p w:rsidR="008111E6" w:rsidRDefault="00177C47">
      <w:pPr>
        <w:spacing w:line="259" w:lineRule="auto"/>
        <w:rPr>
          <w:i/>
          <w:iCs/>
          <w:lang w:val="hr-HR"/>
        </w:rPr>
      </w:pPr>
      <w:r>
        <w:rPr>
          <w:i/>
          <w:iCs/>
          <w:lang w:val="hr-HR"/>
        </w:rPr>
        <w:t>321 Naknade troškova zaposlenima su povećane u odnosu na prethodnu godinu te iznose 42.871,94 eura</w:t>
      </w:r>
    </w:p>
    <w:p w:rsidR="008111E6" w:rsidRDefault="00177C47">
      <w:pPr>
        <w:spacing w:line="259" w:lineRule="auto"/>
        <w:rPr>
          <w:lang w:val="hr-HR"/>
        </w:rPr>
      </w:pPr>
      <w:r>
        <w:rPr>
          <w:lang w:val="hr-HR"/>
        </w:rPr>
        <w:t>U odnosu na prethodnu godinu vidimo  povećanje rashoda za službena putovanja kojih je u ovoj godini bilo v</w:t>
      </w:r>
      <w:r>
        <w:rPr>
          <w:lang w:val="hr-HR"/>
        </w:rPr>
        <w:t>iše nego lani zbog raznih prezentacija i promocija Interpretacijskog centra.</w:t>
      </w:r>
    </w:p>
    <w:p w:rsidR="008111E6" w:rsidRDefault="00177C47">
      <w:pPr>
        <w:spacing w:line="259" w:lineRule="auto"/>
        <w:rPr>
          <w:i/>
          <w:iCs/>
          <w:lang w:val="hr-HR"/>
        </w:rPr>
      </w:pPr>
      <w:r>
        <w:rPr>
          <w:i/>
          <w:iCs/>
          <w:lang w:val="hr-HR"/>
        </w:rPr>
        <w:lastRenderedPageBreak/>
        <w:t xml:space="preserve">322 Rashodi za materijal i energiju ostvareni su u iznosu od 1.192,45 </w:t>
      </w:r>
      <w:proofErr w:type="spellStart"/>
      <w:r>
        <w:rPr>
          <w:i/>
          <w:iCs/>
          <w:lang w:val="hr-HR"/>
        </w:rPr>
        <w:t>eur</w:t>
      </w:r>
      <w:proofErr w:type="spellEnd"/>
      <w:r>
        <w:rPr>
          <w:i/>
          <w:iCs/>
          <w:lang w:val="hr-HR"/>
        </w:rPr>
        <w:t xml:space="preserve"> .</w:t>
      </w:r>
    </w:p>
    <w:p w:rsidR="008111E6" w:rsidRDefault="00177C47">
      <w:pPr>
        <w:spacing w:line="259" w:lineRule="auto"/>
        <w:rPr>
          <w:lang w:val="hr-HR"/>
        </w:rPr>
      </w:pPr>
      <w:r>
        <w:rPr>
          <w:lang w:val="hr-HR"/>
        </w:rPr>
        <w:t>Unutar navedenih rashoda uredski materijal i ostali materijalni rashodi ostvareni su u iznosu od 653,70</w:t>
      </w:r>
      <w:r>
        <w:rPr>
          <w:lang w:val="hr-HR"/>
        </w:rPr>
        <w:t xml:space="preserve"> </w:t>
      </w:r>
      <w:proofErr w:type="spellStart"/>
      <w:r>
        <w:rPr>
          <w:lang w:val="hr-HR"/>
        </w:rPr>
        <w:t>eur</w:t>
      </w:r>
      <w:proofErr w:type="spellEnd"/>
      <w:r>
        <w:rPr>
          <w:lang w:val="hr-HR"/>
        </w:rPr>
        <w:t xml:space="preserve"> . </w:t>
      </w:r>
    </w:p>
    <w:p w:rsidR="008111E6" w:rsidRDefault="00177C47">
      <w:pPr>
        <w:spacing w:line="259" w:lineRule="auto"/>
        <w:rPr>
          <w:lang w:val="hr-HR"/>
        </w:rPr>
      </w:pPr>
      <w:r>
        <w:rPr>
          <w:lang w:val="hr-HR"/>
        </w:rPr>
        <w:t>Rashodi vezani uz materijal i sirovine povećani su u odnosu na prethodnu godinu. Najvećim dijelom odnose se na namirnice. Stavka je povećana zbog dinamike promjene cijena na tržištu.</w:t>
      </w:r>
    </w:p>
    <w:p w:rsidR="008111E6" w:rsidRDefault="00177C47">
      <w:pPr>
        <w:spacing w:line="259" w:lineRule="auto"/>
        <w:rPr>
          <w:lang w:val="hr-HR"/>
        </w:rPr>
      </w:pPr>
      <w:r>
        <w:rPr>
          <w:lang w:val="hr-HR"/>
        </w:rPr>
        <w:t>Povećanje vidimo također i na sitnom inventaru u odnosu na pretho</w:t>
      </w:r>
      <w:r>
        <w:rPr>
          <w:lang w:val="hr-HR"/>
        </w:rPr>
        <w:t>dnu godinu jer su ove godine nabavljene novi stolovi i stolice koji su potrebni za izvođenje radionica te javnih prezentacija.</w:t>
      </w:r>
    </w:p>
    <w:p w:rsidR="008111E6" w:rsidRDefault="008111E6">
      <w:pPr>
        <w:spacing w:line="259" w:lineRule="auto"/>
        <w:rPr>
          <w:lang w:val="hr-HR"/>
        </w:rPr>
      </w:pPr>
    </w:p>
    <w:p w:rsidR="008111E6" w:rsidRDefault="00177C47">
      <w:pPr>
        <w:spacing w:line="259" w:lineRule="auto"/>
        <w:rPr>
          <w:i/>
          <w:iCs/>
          <w:lang w:val="hr-HR"/>
        </w:rPr>
      </w:pPr>
      <w:r>
        <w:rPr>
          <w:i/>
          <w:iCs/>
          <w:lang w:val="hr-HR"/>
        </w:rPr>
        <w:t>323 Rashodi za usluge ostvareni su u većem iznosu nego prethodne godine te iznose 9.754,10 eura</w:t>
      </w:r>
    </w:p>
    <w:p w:rsidR="008111E6" w:rsidRDefault="00177C47">
      <w:pPr>
        <w:spacing w:line="259" w:lineRule="auto"/>
        <w:rPr>
          <w:lang w:val="hr-HR"/>
        </w:rPr>
      </w:pPr>
      <w:r>
        <w:rPr>
          <w:lang w:val="hr-HR"/>
        </w:rPr>
        <w:t>Usluge telefona su gotovo jednak</w:t>
      </w:r>
      <w:r>
        <w:rPr>
          <w:lang w:val="hr-HR"/>
        </w:rPr>
        <w:t>e kao i prethodne godine, dok su poštanske usluge manje u ovoj godini (sve više se koristi slanje e-mailom).</w:t>
      </w:r>
    </w:p>
    <w:p w:rsidR="008111E6" w:rsidRDefault="00177C47">
      <w:pPr>
        <w:spacing w:line="259" w:lineRule="auto"/>
        <w:rPr>
          <w:lang w:val="hr-HR"/>
        </w:rPr>
      </w:pPr>
      <w:r>
        <w:rPr>
          <w:lang w:val="hr-HR"/>
        </w:rPr>
        <w:t>Usluge promidžbe i informiranja su veće u odnosu na prethodnu godinu , a odnose se na tisak promotivnih boca i šalica s logom Interpretacijskog cen</w:t>
      </w:r>
      <w:r>
        <w:rPr>
          <w:lang w:val="hr-HR"/>
        </w:rPr>
        <w:t>tra.</w:t>
      </w:r>
    </w:p>
    <w:p w:rsidR="008111E6" w:rsidRDefault="00177C47">
      <w:pPr>
        <w:spacing w:line="259" w:lineRule="auto"/>
        <w:rPr>
          <w:lang w:val="hr-HR"/>
        </w:rPr>
      </w:pPr>
      <w:r>
        <w:rPr>
          <w:lang w:val="hr-HR"/>
        </w:rPr>
        <w:t>Stavka iznošenje i odvoz smeća je povećana u odnosu na prethodnu godinu zbog povećanja cijena.</w:t>
      </w:r>
    </w:p>
    <w:p w:rsidR="008111E6" w:rsidRDefault="00177C47">
      <w:pPr>
        <w:spacing w:line="259" w:lineRule="auto"/>
        <w:rPr>
          <w:lang w:val="hr-HR"/>
        </w:rPr>
      </w:pPr>
      <w:r>
        <w:rPr>
          <w:lang w:val="hr-HR"/>
        </w:rPr>
        <w:t>Računalne usluge su povećane zbog povećanja cijena usluga za ažuriranje računalnih baza.</w:t>
      </w:r>
    </w:p>
    <w:p w:rsidR="008111E6" w:rsidRDefault="00177C47">
      <w:pPr>
        <w:spacing w:line="259" w:lineRule="auto"/>
        <w:rPr>
          <w:i/>
          <w:iCs/>
          <w:lang w:val="hr-HR"/>
        </w:rPr>
      </w:pPr>
      <w:r>
        <w:rPr>
          <w:i/>
          <w:iCs/>
          <w:lang w:val="hr-HR"/>
        </w:rPr>
        <w:t>329 Ostali nespomenuti rashodi poslovanja veći su u odnosu na preth</w:t>
      </w:r>
      <w:r>
        <w:rPr>
          <w:i/>
          <w:iCs/>
          <w:lang w:val="hr-HR"/>
        </w:rPr>
        <w:t>odnu godinu te iznose 1.070,67 eura.</w:t>
      </w:r>
    </w:p>
    <w:p w:rsidR="008111E6" w:rsidRDefault="00177C47">
      <w:pPr>
        <w:spacing w:line="259" w:lineRule="auto"/>
        <w:rPr>
          <w:lang w:val="hr-HR"/>
        </w:rPr>
      </w:pPr>
      <w:r>
        <w:rPr>
          <w:lang w:val="hr-HR"/>
        </w:rPr>
        <w:t xml:space="preserve">Stavka premije osiguranja je veća u odnosu na prethodnu godinu zbog povećanja cijene. Stavka reprezentacije je veća u odnosu na prethodnu jer je Interpretacijski centar sudjelovao u organizaciji Dana vlaškog jezika u Šušnjevici. </w:t>
      </w:r>
    </w:p>
    <w:p w:rsidR="008111E6" w:rsidRDefault="00177C47">
      <w:pPr>
        <w:spacing w:line="259" w:lineRule="auto"/>
        <w:rPr>
          <w:b/>
          <w:bCs/>
          <w:lang w:val="hr-HR"/>
        </w:rPr>
      </w:pPr>
      <w:r>
        <w:rPr>
          <w:b/>
          <w:bCs/>
          <w:lang w:val="hr-HR"/>
        </w:rPr>
        <w:t xml:space="preserve">34 Financijski rashodi </w:t>
      </w:r>
      <w:r>
        <w:rPr>
          <w:lang w:val="hr-HR"/>
        </w:rPr>
        <w:t>izn</w:t>
      </w:r>
      <w:r>
        <w:rPr>
          <w:lang w:val="hr-HR"/>
        </w:rPr>
        <w:t>ose</w:t>
      </w:r>
      <w:r>
        <w:rPr>
          <w:b/>
          <w:bCs/>
          <w:lang w:val="hr-HR"/>
        </w:rPr>
        <w:t xml:space="preserve"> 281,58 eura</w:t>
      </w:r>
      <w:r>
        <w:rPr>
          <w:lang w:val="hr-HR"/>
        </w:rPr>
        <w:t xml:space="preserve"> te su malo manji u odnosu na prethodnu godinu. </w:t>
      </w:r>
      <w:r>
        <w:rPr>
          <w:b/>
          <w:bCs/>
          <w:lang w:val="hr-HR"/>
        </w:rPr>
        <w:t xml:space="preserve"> </w:t>
      </w:r>
    </w:p>
    <w:p w:rsidR="008111E6" w:rsidRDefault="00177C47">
      <w:pPr>
        <w:spacing w:line="259" w:lineRule="auto"/>
        <w:rPr>
          <w:lang w:val="hr-HR"/>
        </w:rPr>
      </w:pPr>
      <w:r>
        <w:rPr>
          <w:lang w:val="hr-HR"/>
        </w:rPr>
        <w:t>Financijski rashodi se odnose na usluge banke za održavanje računa.</w:t>
      </w:r>
    </w:p>
    <w:p w:rsidR="008111E6" w:rsidRDefault="00177C47">
      <w:pPr>
        <w:spacing w:line="259" w:lineRule="auto"/>
        <w:rPr>
          <w:lang w:val="hr-HR"/>
        </w:rPr>
      </w:pPr>
      <w:r>
        <w:rPr>
          <w:b/>
          <w:bCs/>
          <w:i/>
          <w:iCs/>
          <w:lang w:val="hr-HR"/>
        </w:rPr>
        <w:t>4 Rashodi za nabavu nefinancijske imovine</w:t>
      </w:r>
      <w:r>
        <w:rPr>
          <w:b/>
          <w:bCs/>
          <w:lang w:val="hr-HR"/>
        </w:rPr>
        <w:t xml:space="preserve"> </w:t>
      </w:r>
      <w:r>
        <w:rPr>
          <w:lang w:val="hr-HR"/>
        </w:rPr>
        <w:t>ostvareni su u iznosu od 2.886,85 eura .</w:t>
      </w:r>
    </w:p>
    <w:p w:rsidR="008111E6" w:rsidRDefault="00177C47">
      <w:pPr>
        <w:spacing w:line="259" w:lineRule="auto"/>
        <w:rPr>
          <w:lang w:val="hr-HR"/>
        </w:rPr>
      </w:pPr>
      <w:r>
        <w:rPr>
          <w:lang w:val="hr-HR"/>
        </w:rPr>
        <w:t>U ovoj godini obnovljena je informativna</w:t>
      </w:r>
      <w:r>
        <w:rPr>
          <w:lang w:val="hr-HR"/>
        </w:rPr>
        <w:t xml:space="preserve"> tabela te su izrađene </w:t>
      </w:r>
      <w:proofErr w:type="spellStart"/>
      <w:r>
        <w:rPr>
          <w:lang w:val="hr-HR"/>
        </w:rPr>
        <w:t>markacije</w:t>
      </w:r>
      <w:proofErr w:type="spellEnd"/>
      <w:r>
        <w:rPr>
          <w:lang w:val="hr-HR"/>
        </w:rPr>
        <w:t xml:space="preserve"> na stazama.</w:t>
      </w:r>
    </w:p>
    <w:p w:rsidR="008111E6" w:rsidRDefault="008111E6">
      <w:pPr>
        <w:spacing w:line="259" w:lineRule="auto"/>
        <w:rPr>
          <w:lang w:val="hr-HR"/>
        </w:rPr>
      </w:pPr>
    </w:p>
    <w:p w:rsidR="008111E6" w:rsidRDefault="00177C47">
      <w:pPr>
        <w:spacing w:line="259" w:lineRule="auto"/>
        <w:rPr>
          <w:b/>
          <w:lang w:val="hr-HR"/>
        </w:rPr>
      </w:pPr>
      <w:r>
        <w:rPr>
          <w:b/>
          <w:lang w:val="hr-HR"/>
        </w:rPr>
        <w:t>Rezultat poslovanja</w:t>
      </w:r>
    </w:p>
    <w:p w:rsidR="008111E6" w:rsidRDefault="00177C47">
      <w:pPr>
        <w:spacing w:line="259" w:lineRule="auto"/>
        <w:rPr>
          <w:b/>
          <w:lang w:val="hr-HR"/>
        </w:rPr>
      </w:pPr>
      <w:r>
        <w:rPr>
          <w:b/>
          <w:bCs/>
          <w:lang w:val="hr-HR"/>
        </w:rPr>
        <w:t xml:space="preserve">Manjak prihoda i primitaka  </w:t>
      </w:r>
      <w:r>
        <w:rPr>
          <w:lang w:val="hr-HR"/>
        </w:rPr>
        <w:t>iznosi</w:t>
      </w:r>
      <w:r>
        <w:rPr>
          <w:b/>
          <w:bCs/>
          <w:lang w:val="hr-HR"/>
        </w:rPr>
        <w:t xml:space="preserve"> </w:t>
      </w:r>
      <w:r>
        <w:rPr>
          <w:lang w:val="hr-HR"/>
        </w:rPr>
        <w:t xml:space="preserve"> 4,99  eura.</w:t>
      </w:r>
    </w:p>
    <w:p w:rsidR="008111E6" w:rsidRDefault="00177C47">
      <w:pPr>
        <w:spacing w:line="259" w:lineRule="auto"/>
        <w:rPr>
          <w:lang w:val="hr-HR"/>
        </w:rPr>
      </w:pPr>
      <w:r>
        <w:rPr>
          <w:b/>
          <w:lang w:val="hr-HR"/>
        </w:rPr>
        <w:t xml:space="preserve">Višak prihoda i primitaka – preneseni  </w:t>
      </w:r>
      <w:r>
        <w:rPr>
          <w:lang w:val="hr-HR"/>
        </w:rPr>
        <w:t xml:space="preserve">– višak prihoda u računu Prihoda i rashoda iznosi 2.601,39 eura. </w:t>
      </w:r>
    </w:p>
    <w:p w:rsidR="008111E6" w:rsidRDefault="00177C47">
      <w:pPr>
        <w:spacing w:line="259" w:lineRule="auto"/>
        <w:rPr>
          <w:lang w:val="hr-HR"/>
        </w:rPr>
      </w:pPr>
      <w:r>
        <w:rPr>
          <w:b/>
          <w:bCs/>
          <w:lang w:val="hr-HR"/>
        </w:rPr>
        <w:t xml:space="preserve">Višak prihoda i primitaka raspoloživ </w:t>
      </w:r>
      <w:r>
        <w:rPr>
          <w:b/>
          <w:bCs/>
          <w:lang w:val="hr-HR"/>
        </w:rPr>
        <w:t>u sljedećem razdoblju</w:t>
      </w:r>
      <w:r>
        <w:rPr>
          <w:lang w:val="hr-HR"/>
        </w:rPr>
        <w:t xml:space="preserve"> iznosi 2.596,40 eura. </w:t>
      </w:r>
    </w:p>
    <w:p w:rsidR="008111E6" w:rsidRDefault="008111E6">
      <w:pPr>
        <w:spacing w:line="259" w:lineRule="auto"/>
        <w:rPr>
          <w:b/>
          <w:lang w:val="hr-HR"/>
        </w:rPr>
      </w:pPr>
    </w:p>
    <w:p w:rsidR="008111E6" w:rsidRDefault="00177C47">
      <w:pPr>
        <w:spacing w:line="259" w:lineRule="auto"/>
        <w:rPr>
          <w:b/>
          <w:lang w:val="hr-HR"/>
        </w:rPr>
      </w:pPr>
      <w:r>
        <w:rPr>
          <w:b/>
          <w:lang w:val="hr-HR"/>
        </w:rPr>
        <w:t>BILJEŠKE UZ  OBRAZAC BILANCA</w:t>
      </w:r>
    </w:p>
    <w:p w:rsidR="008111E6" w:rsidRDefault="00177C47">
      <w:pPr>
        <w:spacing w:line="259" w:lineRule="auto"/>
        <w:rPr>
          <w:bCs/>
          <w:lang w:val="hr-HR"/>
        </w:rPr>
      </w:pPr>
      <w:r>
        <w:rPr>
          <w:b/>
          <w:lang w:val="hr-HR"/>
        </w:rPr>
        <w:lastRenderedPageBreak/>
        <w:t xml:space="preserve">Ukupna imovina Interpretacijskog centra  </w:t>
      </w:r>
      <w:r>
        <w:rPr>
          <w:bCs/>
          <w:lang w:val="hr-HR"/>
        </w:rPr>
        <w:t>iznosi 146.501,24 eura.</w:t>
      </w:r>
    </w:p>
    <w:p w:rsidR="008111E6" w:rsidRDefault="00177C47">
      <w:pPr>
        <w:spacing w:line="259" w:lineRule="auto"/>
        <w:rPr>
          <w:bCs/>
          <w:lang w:val="hr-HR"/>
        </w:rPr>
      </w:pPr>
      <w:r>
        <w:rPr>
          <w:b/>
          <w:lang w:val="hr-HR"/>
        </w:rPr>
        <w:t xml:space="preserve">0 Nefinancijska imovina </w:t>
      </w:r>
      <w:r>
        <w:rPr>
          <w:bCs/>
          <w:lang w:val="hr-HR"/>
        </w:rPr>
        <w:t xml:space="preserve"> iznosi 0 eura. </w:t>
      </w:r>
    </w:p>
    <w:p w:rsidR="008111E6" w:rsidRDefault="00177C47">
      <w:pPr>
        <w:spacing w:line="259" w:lineRule="auto"/>
        <w:rPr>
          <w:bCs/>
          <w:lang w:val="hr-HR"/>
        </w:rPr>
      </w:pPr>
      <w:r>
        <w:rPr>
          <w:bCs/>
          <w:lang w:val="hr-HR"/>
        </w:rPr>
        <w:t xml:space="preserve"> Ulaganja u sitan inventar u 2024. godini iznosi 2.886,85 eura. Nabavljeni </w:t>
      </w:r>
      <w:r>
        <w:rPr>
          <w:bCs/>
          <w:lang w:val="hr-HR"/>
        </w:rPr>
        <w:t>su novi stolovi i stolice.</w:t>
      </w:r>
    </w:p>
    <w:p w:rsidR="008111E6" w:rsidRDefault="00177C47">
      <w:pPr>
        <w:spacing w:line="259" w:lineRule="auto"/>
        <w:rPr>
          <w:lang w:val="hr-HR"/>
        </w:rPr>
      </w:pPr>
      <w:r>
        <w:rPr>
          <w:b/>
          <w:bCs/>
          <w:lang w:val="hr-HR"/>
        </w:rPr>
        <w:t xml:space="preserve">1 Financijska imovina </w:t>
      </w:r>
      <w:r>
        <w:rPr>
          <w:lang w:val="hr-HR"/>
        </w:rPr>
        <w:t xml:space="preserve"> Interpretacijskog </w:t>
      </w:r>
      <w:proofErr w:type="spellStart"/>
      <w:r>
        <w:rPr>
          <w:lang w:val="hr-HR"/>
        </w:rPr>
        <w:t>cenra</w:t>
      </w:r>
      <w:proofErr w:type="spellEnd"/>
      <w:r>
        <w:rPr>
          <w:lang w:val="hr-HR"/>
        </w:rPr>
        <w:t xml:space="preserve"> Vlaški puti vrijednosno iznosi 7.152,73 + stanje u blagajni 157,06 eura. </w:t>
      </w:r>
    </w:p>
    <w:p w:rsidR="008111E6" w:rsidRDefault="00177C47">
      <w:pPr>
        <w:spacing w:line="259" w:lineRule="auto"/>
        <w:rPr>
          <w:lang w:val="hr-HR"/>
        </w:rPr>
      </w:pPr>
      <w:r>
        <w:rPr>
          <w:lang w:val="hr-HR"/>
        </w:rPr>
        <w:t>Odnosi se na novac na računu na dan 31.12.2024. godine te iznosi 7.152,73 eura i iskoristit će se za podmiri</w:t>
      </w:r>
      <w:r>
        <w:rPr>
          <w:lang w:val="hr-HR"/>
        </w:rPr>
        <w:t xml:space="preserve">vanje obaveza u narednom razdoblju. </w:t>
      </w:r>
    </w:p>
    <w:p w:rsidR="008111E6" w:rsidRDefault="00177C47">
      <w:pPr>
        <w:spacing w:line="259" w:lineRule="auto"/>
        <w:rPr>
          <w:lang w:val="hr-HR"/>
        </w:rPr>
      </w:pPr>
      <w:r>
        <w:rPr>
          <w:b/>
          <w:bCs/>
          <w:lang w:val="hr-HR"/>
        </w:rPr>
        <w:t xml:space="preserve">2 Obveze za rashode poslovanja  </w:t>
      </w:r>
      <w:r>
        <w:rPr>
          <w:lang w:val="hr-HR"/>
        </w:rPr>
        <w:t xml:space="preserve">iznose 4.573,02 eura, te su povećane u odnosu na prethodnu godinu. Najvećim dijelom odnose se na obveze za plaću (koja je povećana u 2024. godini) koja dospijeva u siječnju 2025. godine. </w:t>
      </w:r>
      <w:r>
        <w:rPr>
          <w:lang w:val="hr-HR"/>
        </w:rPr>
        <w:t>Obveze za materijalne rashode koje se odnose za plaćanje dobavljača, financijske obaveze prema banci i ostale tekuće obaveze koje se odnose na obveze proračunskih korisnika za povrat u proračun.</w:t>
      </w:r>
    </w:p>
    <w:p w:rsidR="008111E6" w:rsidRDefault="00177C47">
      <w:pPr>
        <w:spacing w:line="259" w:lineRule="auto"/>
        <w:rPr>
          <w:lang w:val="hr-HR"/>
        </w:rPr>
      </w:pPr>
      <w:r>
        <w:rPr>
          <w:b/>
          <w:bCs/>
          <w:lang w:val="hr-HR"/>
        </w:rPr>
        <w:t xml:space="preserve">9 Vlastiti izvori </w:t>
      </w:r>
      <w:r>
        <w:rPr>
          <w:lang w:val="hr-HR"/>
        </w:rPr>
        <w:t>iznose 2.596,40 eura. Obuhvaćaju vlastite i</w:t>
      </w:r>
      <w:r>
        <w:rPr>
          <w:lang w:val="hr-HR"/>
        </w:rPr>
        <w:t xml:space="preserve">zvore iz </w:t>
      </w:r>
      <w:proofErr w:type="spellStart"/>
      <w:r>
        <w:rPr>
          <w:lang w:val="hr-HR"/>
        </w:rPr>
        <w:t>prenešenog</w:t>
      </w:r>
      <w:proofErr w:type="spellEnd"/>
      <w:r>
        <w:rPr>
          <w:lang w:val="hr-HR"/>
        </w:rPr>
        <w:t xml:space="preserve"> viška iz prethodne godine  i rezultata poslovanja (manjak ) 4,99 eura.</w:t>
      </w:r>
    </w:p>
    <w:p w:rsidR="008111E6" w:rsidRDefault="008111E6">
      <w:pPr>
        <w:spacing w:line="259" w:lineRule="auto"/>
        <w:rPr>
          <w:lang w:val="hr-HR"/>
        </w:rPr>
      </w:pPr>
    </w:p>
    <w:p w:rsidR="008111E6" w:rsidRDefault="00177C47">
      <w:pPr>
        <w:spacing w:line="259" w:lineRule="auto"/>
        <w:rPr>
          <w:b/>
          <w:bCs/>
          <w:lang w:val="hr-HR"/>
        </w:rPr>
      </w:pPr>
      <w:r>
        <w:rPr>
          <w:b/>
          <w:bCs/>
          <w:lang w:val="hr-HR"/>
        </w:rPr>
        <w:t>BILJEŠKE UZ OBRAZAC RAS – FUNKCIJSKI</w:t>
      </w:r>
    </w:p>
    <w:p w:rsidR="008111E6" w:rsidRDefault="00177C47">
      <w:pPr>
        <w:spacing w:line="259" w:lineRule="auto"/>
        <w:rPr>
          <w:b/>
          <w:bCs/>
          <w:lang w:val="hr-HR"/>
        </w:rPr>
      </w:pPr>
      <w:r>
        <w:rPr>
          <w:lang w:val="hr-HR"/>
        </w:rPr>
        <w:t xml:space="preserve">    Obrazac iskazuje ukupne rashode po funkcijskoj klasifikaciji te iznosi 60.240,36 eura. Navedeni rashodi su zbroj ukupnih ra</w:t>
      </w:r>
      <w:r>
        <w:rPr>
          <w:lang w:val="hr-HR"/>
        </w:rPr>
        <w:t xml:space="preserve">shoda poslovanja 57.353,51 eura te rashodi za nabavu nefinancijske imovine 2.886,85 eura. Rashodi su raspoređeni prema funkcijskoj klasifikaciji na </w:t>
      </w:r>
      <w:r>
        <w:rPr>
          <w:b/>
          <w:bCs/>
          <w:lang w:val="hr-HR"/>
        </w:rPr>
        <w:t>kulturu.</w:t>
      </w:r>
    </w:p>
    <w:p w:rsidR="008111E6" w:rsidRDefault="008111E6">
      <w:pPr>
        <w:spacing w:line="259" w:lineRule="auto"/>
        <w:rPr>
          <w:b/>
          <w:bCs/>
          <w:lang w:val="hr-HR"/>
        </w:rPr>
      </w:pPr>
    </w:p>
    <w:p w:rsidR="008111E6" w:rsidRDefault="00177C47">
      <w:pPr>
        <w:spacing w:line="259" w:lineRule="auto"/>
        <w:rPr>
          <w:lang w:val="hr-HR"/>
        </w:rPr>
      </w:pPr>
      <w:r>
        <w:rPr>
          <w:b/>
          <w:bCs/>
          <w:lang w:val="hr-HR"/>
        </w:rPr>
        <w:t>BILJEŠKE UZ OBRAZAC P-VRIO</w:t>
      </w:r>
    </w:p>
    <w:p w:rsidR="008111E6" w:rsidRDefault="00177C47">
      <w:pPr>
        <w:spacing w:after="160" w:line="259" w:lineRule="auto"/>
        <w:rPr>
          <w:lang w:val="hr-HR"/>
        </w:rPr>
      </w:pPr>
      <w:r>
        <w:rPr>
          <w:lang w:val="hr-HR"/>
        </w:rPr>
        <w:t xml:space="preserve">        Za 2024. godinu u obrascu P-VRIO iskazane su vrijednosti 0.</w:t>
      </w:r>
    </w:p>
    <w:p w:rsidR="008111E6" w:rsidRDefault="00177C47">
      <w:pPr>
        <w:spacing w:after="160" w:line="259" w:lineRule="auto"/>
        <w:rPr>
          <w:lang w:val="hr-HR"/>
        </w:rPr>
      </w:pPr>
      <w:r>
        <w:rPr>
          <w:lang w:val="hr-HR"/>
        </w:rPr>
        <w:tab/>
      </w:r>
    </w:p>
    <w:p w:rsidR="008111E6" w:rsidRDefault="00177C47">
      <w:pPr>
        <w:spacing w:line="259" w:lineRule="auto"/>
        <w:rPr>
          <w:b/>
          <w:lang w:val="hr-HR"/>
        </w:rPr>
      </w:pPr>
      <w:r>
        <w:rPr>
          <w:b/>
          <w:lang w:val="hr-HR"/>
        </w:rPr>
        <w:t>B</w:t>
      </w:r>
      <w:r>
        <w:rPr>
          <w:b/>
          <w:lang w:val="hr-HR"/>
        </w:rPr>
        <w:t>ILJEŠKE UZ OBRAZAC OBVEZE</w:t>
      </w:r>
    </w:p>
    <w:p w:rsidR="008111E6" w:rsidRDefault="00177C47">
      <w:pPr>
        <w:spacing w:line="259" w:lineRule="auto"/>
        <w:rPr>
          <w:lang w:val="hr-HR"/>
        </w:rPr>
      </w:pPr>
      <w:r>
        <w:rPr>
          <w:b/>
          <w:bCs/>
          <w:lang w:val="hr-HR"/>
        </w:rPr>
        <w:t>Stanje obveza na kraju izvještajnog razdoblja</w:t>
      </w:r>
      <w:r>
        <w:rPr>
          <w:lang w:val="hr-HR"/>
        </w:rPr>
        <w:t xml:space="preserve"> iznosi 4.573,02 eura. Odnose se na obveze najvećim dijelom za plaće djelatnika čija isplata dospijeva u siječnju 2025. godine. </w:t>
      </w:r>
    </w:p>
    <w:p w:rsidR="008111E6" w:rsidRDefault="00177C47">
      <w:pPr>
        <w:spacing w:line="259" w:lineRule="auto"/>
        <w:rPr>
          <w:lang w:val="hr-HR"/>
        </w:rPr>
      </w:pPr>
      <w:r>
        <w:rPr>
          <w:lang w:val="hr-HR"/>
        </w:rPr>
        <w:t xml:space="preserve">Ostale obveze odnose se na plaćanje dobavljača koje </w:t>
      </w:r>
      <w:r>
        <w:rPr>
          <w:lang w:val="hr-HR"/>
        </w:rPr>
        <w:t>također dospijevaju u siječnju 2025. godine, te na obveze za povrat u proračun.</w:t>
      </w:r>
    </w:p>
    <w:p w:rsidR="008111E6" w:rsidRDefault="00177C47">
      <w:pPr>
        <w:spacing w:line="259" w:lineRule="auto"/>
        <w:rPr>
          <w:lang w:val="hr-HR"/>
        </w:rPr>
      </w:pPr>
      <w:r>
        <w:rPr>
          <w:b/>
          <w:bCs/>
          <w:lang w:val="hr-HR"/>
        </w:rPr>
        <w:t xml:space="preserve">Nedospjele obveze  </w:t>
      </w:r>
      <w:r>
        <w:rPr>
          <w:lang w:val="hr-HR"/>
        </w:rPr>
        <w:t>iznose 3.718,27 eura, te se najvećim dijelom odnose na plaće djelatnika, te na plaćanje dobavljača koje dospijevaju u siječnju 2025.godine u iznosu od 236,32</w:t>
      </w:r>
      <w:r>
        <w:rPr>
          <w:lang w:val="hr-HR"/>
        </w:rPr>
        <w:t xml:space="preserve"> eura. Iznos od 618,43 eura odnose se na obaveze za povrat u proračun. </w:t>
      </w:r>
    </w:p>
    <w:p w:rsidR="008111E6" w:rsidRDefault="008111E6">
      <w:pPr>
        <w:spacing w:line="259" w:lineRule="auto"/>
        <w:rPr>
          <w:lang w:val="hr-HR"/>
        </w:rPr>
      </w:pPr>
    </w:p>
    <w:p w:rsidR="008111E6" w:rsidRDefault="00177C47">
      <w:pPr>
        <w:spacing w:after="160" w:line="259" w:lineRule="auto"/>
        <w:rPr>
          <w:lang w:val="hr-HR"/>
        </w:rPr>
      </w:pPr>
      <w:r>
        <w:rPr>
          <w:lang w:val="hr-HR"/>
        </w:rPr>
        <w:t>Tablica 1. Popis ugovornih odnosa u Interpretacijskom centru Vlaški puti</w:t>
      </w:r>
    </w:p>
    <w:p w:rsidR="008111E6" w:rsidRDefault="008111E6">
      <w:pPr>
        <w:spacing w:after="160" w:line="259" w:lineRule="auto"/>
        <w:rPr>
          <w:lang w:val="hr-HR"/>
        </w:rPr>
      </w:pPr>
    </w:p>
    <w:tbl>
      <w:tblPr>
        <w:tblStyle w:val="Reetkatablice"/>
        <w:tblW w:w="9124" w:type="dxa"/>
        <w:tblLayout w:type="fixed"/>
        <w:tblLook w:val="04A0" w:firstRow="1" w:lastRow="0" w:firstColumn="1" w:lastColumn="0" w:noHBand="0" w:noVBand="1"/>
      </w:tblPr>
      <w:tblGrid>
        <w:gridCol w:w="640"/>
        <w:gridCol w:w="1554"/>
        <w:gridCol w:w="1213"/>
        <w:gridCol w:w="1483"/>
        <w:gridCol w:w="1434"/>
        <w:gridCol w:w="1023"/>
        <w:gridCol w:w="576"/>
        <w:gridCol w:w="1201"/>
      </w:tblGrid>
      <w:tr w:rsidR="008111E6">
        <w:trPr>
          <w:trHeight w:val="305"/>
        </w:trPr>
        <w:tc>
          <w:tcPr>
            <w:tcW w:w="639" w:type="dxa"/>
          </w:tcPr>
          <w:p w:rsidR="008111E6" w:rsidRDefault="008111E6">
            <w:pPr>
              <w:spacing w:after="160" w:line="259" w:lineRule="auto"/>
              <w:rPr>
                <w:lang w:val="hr-HR"/>
              </w:rPr>
            </w:pPr>
          </w:p>
          <w:p w:rsidR="008111E6" w:rsidRDefault="00177C47">
            <w:pPr>
              <w:spacing w:after="160" w:line="259" w:lineRule="auto"/>
              <w:rPr>
                <w:lang w:val="hr-HR"/>
              </w:rPr>
            </w:pPr>
            <w:r>
              <w:rPr>
                <w:rFonts w:eastAsia="Calibri"/>
                <w:lang w:val="hr-HR"/>
              </w:rPr>
              <w:t>RBR</w:t>
            </w:r>
          </w:p>
        </w:tc>
        <w:tc>
          <w:tcPr>
            <w:tcW w:w="1554" w:type="dxa"/>
          </w:tcPr>
          <w:p w:rsidR="008111E6" w:rsidRDefault="00177C47">
            <w:pPr>
              <w:spacing w:after="160" w:line="259" w:lineRule="auto"/>
              <w:rPr>
                <w:lang w:val="hr-HR"/>
              </w:rPr>
            </w:pPr>
            <w:r>
              <w:rPr>
                <w:rFonts w:eastAsia="Calibri"/>
                <w:lang w:val="hr-HR"/>
              </w:rPr>
              <w:t>Datum izdavanja/ primanja jamstva</w:t>
            </w:r>
          </w:p>
        </w:tc>
        <w:tc>
          <w:tcPr>
            <w:tcW w:w="1213" w:type="dxa"/>
          </w:tcPr>
          <w:p w:rsidR="008111E6" w:rsidRDefault="008111E6">
            <w:pPr>
              <w:spacing w:after="160" w:line="259" w:lineRule="auto"/>
              <w:rPr>
                <w:lang w:val="hr-HR"/>
              </w:rPr>
            </w:pPr>
          </w:p>
          <w:p w:rsidR="008111E6" w:rsidRDefault="00177C47">
            <w:pPr>
              <w:spacing w:after="160" w:line="259" w:lineRule="auto"/>
              <w:rPr>
                <w:lang w:val="hr-HR"/>
              </w:rPr>
            </w:pPr>
            <w:r>
              <w:rPr>
                <w:rFonts w:eastAsia="Calibri"/>
                <w:lang w:val="hr-HR"/>
              </w:rPr>
              <w:t>Instrument osiguranja</w:t>
            </w:r>
          </w:p>
        </w:tc>
        <w:tc>
          <w:tcPr>
            <w:tcW w:w="1483" w:type="dxa"/>
          </w:tcPr>
          <w:p w:rsidR="008111E6" w:rsidRDefault="00177C47">
            <w:pPr>
              <w:spacing w:after="160" w:line="259" w:lineRule="auto"/>
              <w:rPr>
                <w:lang w:val="hr-HR"/>
              </w:rPr>
            </w:pPr>
            <w:r>
              <w:rPr>
                <w:rFonts w:eastAsia="Calibri"/>
                <w:lang w:val="hr-HR"/>
              </w:rPr>
              <w:t>Iznos danog/ primljenog jamstva</w:t>
            </w:r>
          </w:p>
        </w:tc>
        <w:tc>
          <w:tcPr>
            <w:tcW w:w="1434" w:type="dxa"/>
          </w:tcPr>
          <w:p w:rsidR="008111E6" w:rsidRDefault="00177C47">
            <w:pPr>
              <w:spacing w:after="160" w:line="259" w:lineRule="auto"/>
              <w:rPr>
                <w:lang w:val="hr-HR"/>
              </w:rPr>
            </w:pPr>
            <w:r>
              <w:rPr>
                <w:rFonts w:eastAsia="Calibri"/>
                <w:lang w:val="hr-HR"/>
              </w:rPr>
              <w:t>Primatelj/ dava</w:t>
            </w:r>
            <w:r>
              <w:rPr>
                <w:rFonts w:eastAsia="Calibri"/>
                <w:lang w:val="hr-HR"/>
              </w:rPr>
              <w:t>telj jamstva</w:t>
            </w:r>
          </w:p>
        </w:tc>
        <w:tc>
          <w:tcPr>
            <w:tcW w:w="1023" w:type="dxa"/>
          </w:tcPr>
          <w:p w:rsidR="008111E6" w:rsidRDefault="008111E6">
            <w:pPr>
              <w:spacing w:after="160" w:line="259" w:lineRule="auto"/>
              <w:rPr>
                <w:lang w:val="hr-HR"/>
              </w:rPr>
            </w:pPr>
          </w:p>
          <w:p w:rsidR="008111E6" w:rsidRDefault="00177C47">
            <w:pPr>
              <w:spacing w:after="160" w:line="259" w:lineRule="auto"/>
              <w:rPr>
                <w:lang w:val="hr-HR"/>
              </w:rPr>
            </w:pPr>
            <w:r>
              <w:rPr>
                <w:rFonts w:eastAsia="Calibri"/>
                <w:lang w:val="hr-HR"/>
              </w:rPr>
              <w:t>Namjena</w:t>
            </w:r>
          </w:p>
        </w:tc>
        <w:tc>
          <w:tcPr>
            <w:tcW w:w="576" w:type="dxa"/>
          </w:tcPr>
          <w:p w:rsidR="008111E6" w:rsidRDefault="008111E6">
            <w:pPr>
              <w:spacing w:after="160" w:line="259" w:lineRule="auto"/>
              <w:rPr>
                <w:lang w:val="hr-HR"/>
              </w:rPr>
            </w:pPr>
          </w:p>
          <w:p w:rsidR="008111E6" w:rsidRDefault="00177C47">
            <w:pPr>
              <w:spacing w:after="160" w:line="259" w:lineRule="auto"/>
              <w:rPr>
                <w:lang w:val="hr-HR"/>
              </w:rPr>
            </w:pPr>
            <w:r>
              <w:rPr>
                <w:rFonts w:eastAsia="Calibri"/>
                <w:lang w:val="hr-HR"/>
              </w:rPr>
              <w:t>Rok</w:t>
            </w:r>
          </w:p>
        </w:tc>
        <w:tc>
          <w:tcPr>
            <w:tcW w:w="1201" w:type="dxa"/>
          </w:tcPr>
          <w:p w:rsidR="008111E6" w:rsidRDefault="008111E6">
            <w:pPr>
              <w:spacing w:after="160" w:line="259" w:lineRule="auto"/>
              <w:rPr>
                <w:lang w:val="hr-HR"/>
              </w:rPr>
            </w:pPr>
          </w:p>
          <w:p w:rsidR="008111E6" w:rsidRDefault="00177C47">
            <w:pPr>
              <w:spacing w:after="160" w:line="259" w:lineRule="auto"/>
              <w:rPr>
                <w:lang w:val="hr-HR"/>
              </w:rPr>
            </w:pPr>
            <w:r>
              <w:rPr>
                <w:rFonts w:eastAsia="Calibri"/>
                <w:lang w:val="hr-HR"/>
              </w:rPr>
              <w:t>Napomena</w:t>
            </w:r>
          </w:p>
        </w:tc>
      </w:tr>
      <w:tr w:rsidR="008111E6">
        <w:tc>
          <w:tcPr>
            <w:tcW w:w="639" w:type="dxa"/>
          </w:tcPr>
          <w:p w:rsidR="008111E6" w:rsidRDefault="00177C47">
            <w:pPr>
              <w:spacing w:after="160" w:line="259" w:lineRule="auto"/>
              <w:rPr>
                <w:lang w:val="hr-HR"/>
              </w:rPr>
            </w:pPr>
            <w:r>
              <w:rPr>
                <w:rFonts w:eastAsia="Calibri"/>
                <w:lang w:val="hr-HR"/>
              </w:rPr>
              <w:t>-</w:t>
            </w:r>
          </w:p>
        </w:tc>
        <w:tc>
          <w:tcPr>
            <w:tcW w:w="1554" w:type="dxa"/>
          </w:tcPr>
          <w:p w:rsidR="008111E6" w:rsidRDefault="00177C47">
            <w:pPr>
              <w:spacing w:after="160" w:line="259" w:lineRule="auto"/>
              <w:rPr>
                <w:lang w:val="hr-HR"/>
              </w:rPr>
            </w:pPr>
            <w:r>
              <w:rPr>
                <w:rFonts w:eastAsia="Calibri"/>
                <w:lang w:val="hr-HR"/>
              </w:rPr>
              <w:t>-</w:t>
            </w:r>
          </w:p>
        </w:tc>
        <w:tc>
          <w:tcPr>
            <w:tcW w:w="1213" w:type="dxa"/>
          </w:tcPr>
          <w:p w:rsidR="008111E6" w:rsidRDefault="00177C47">
            <w:pPr>
              <w:spacing w:after="160" w:line="259" w:lineRule="auto"/>
              <w:rPr>
                <w:lang w:val="hr-HR"/>
              </w:rPr>
            </w:pPr>
            <w:r>
              <w:rPr>
                <w:rFonts w:eastAsia="Calibri"/>
                <w:lang w:val="hr-HR"/>
              </w:rPr>
              <w:t>-</w:t>
            </w:r>
          </w:p>
        </w:tc>
        <w:tc>
          <w:tcPr>
            <w:tcW w:w="1483" w:type="dxa"/>
          </w:tcPr>
          <w:p w:rsidR="008111E6" w:rsidRDefault="00177C47">
            <w:pPr>
              <w:spacing w:after="160" w:line="259" w:lineRule="auto"/>
              <w:rPr>
                <w:lang w:val="hr-HR"/>
              </w:rPr>
            </w:pPr>
            <w:r>
              <w:rPr>
                <w:rFonts w:eastAsia="Calibri"/>
                <w:lang w:val="hr-HR"/>
              </w:rPr>
              <w:t>-</w:t>
            </w:r>
          </w:p>
        </w:tc>
        <w:tc>
          <w:tcPr>
            <w:tcW w:w="1434" w:type="dxa"/>
          </w:tcPr>
          <w:p w:rsidR="008111E6" w:rsidRDefault="00177C47">
            <w:pPr>
              <w:spacing w:after="160" w:line="259" w:lineRule="auto"/>
              <w:rPr>
                <w:lang w:val="hr-HR"/>
              </w:rPr>
            </w:pPr>
            <w:r>
              <w:rPr>
                <w:rFonts w:eastAsia="Calibri"/>
                <w:lang w:val="hr-HR"/>
              </w:rPr>
              <w:t>-</w:t>
            </w:r>
          </w:p>
        </w:tc>
        <w:tc>
          <w:tcPr>
            <w:tcW w:w="1023" w:type="dxa"/>
          </w:tcPr>
          <w:p w:rsidR="008111E6" w:rsidRDefault="00177C47">
            <w:pPr>
              <w:spacing w:after="160" w:line="259" w:lineRule="auto"/>
              <w:rPr>
                <w:lang w:val="hr-HR"/>
              </w:rPr>
            </w:pPr>
            <w:r>
              <w:rPr>
                <w:rFonts w:eastAsia="Calibri"/>
                <w:lang w:val="hr-HR"/>
              </w:rPr>
              <w:t>-</w:t>
            </w:r>
          </w:p>
        </w:tc>
        <w:tc>
          <w:tcPr>
            <w:tcW w:w="576" w:type="dxa"/>
          </w:tcPr>
          <w:p w:rsidR="008111E6" w:rsidRDefault="00177C47">
            <w:pPr>
              <w:spacing w:after="160" w:line="259" w:lineRule="auto"/>
              <w:rPr>
                <w:lang w:val="hr-HR"/>
              </w:rPr>
            </w:pPr>
            <w:r>
              <w:rPr>
                <w:rFonts w:eastAsia="Calibri"/>
                <w:lang w:val="hr-HR"/>
              </w:rPr>
              <w:t>-</w:t>
            </w:r>
          </w:p>
        </w:tc>
        <w:tc>
          <w:tcPr>
            <w:tcW w:w="1201" w:type="dxa"/>
          </w:tcPr>
          <w:p w:rsidR="008111E6" w:rsidRDefault="00177C47">
            <w:pPr>
              <w:spacing w:after="160" w:line="259" w:lineRule="auto"/>
              <w:rPr>
                <w:lang w:val="hr-HR"/>
              </w:rPr>
            </w:pPr>
            <w:r>
              <w:rPr>
                <w:rFonts w:eastAsia="Calibri"/>
                <w:lang w:val="hr-HR"/>
              </w:rPr>
              <w:t>-</w:t>
            </w:r>
          </w:p>
        </w:tc>
      </w:tr>
      <w:tr w:rsidR="008111E6">
        <w:tc>
          <w:tcPr>
            <w:tcW w:w="639" w:type="dxa"/>
          </w:tcPr>
          <w:p w:rsidR="008111E6" w:rsidRDefault="00177C47">
            <w:pPr>
              <w:spacing w:after="160" w:line="259" w:lineRule="auto"/>
              <w:rPr>
                <w:lang w:val="hr-HR"/>
              </w:rPr>
            </w:pPr>
            <w:r>
              <w:rPr>
                <w:rFonts w:eastAsia="Calibri"/>
                <w:lang w:val="hr-HR"/>
              </w:rPr>
              <w:t>-</w:t>
            </w:r>
          </w:p>
        </w:tc>
        <w:tc>
          <w:tcPr>
            <w:tcW w:w="1554" w:type="dxa"/>
          </w:tcPr>
          <w:p w:rsidR="008111E6" w:rsidRDefault="00177C47">
            <w:pPr>
              <w:spacing w:after="160" w:line="259" w:lineRule="auto"/>
              <w:rPr>
                <w:lang w:val="hr-HR"/>
              </w:rPr>
            </w:pPr>
            <w:r>
              <w:rPr>
                <w:rFonts w:eastAsia="Calibri"/>
                <w:lang w:val="hr-HR"/>
              </w:rPr>
              <w:t>-</w:t>
            </w:r>
          </w:p>
        </w:tc>
        <w:tc>
          <w:tcPr>
            <w:tcW w:w="1213" w:type="dxa"/>
          </w:tcPr>
          <w:p w:rsidR="008111E6" w:rsidRDefault="00177C47">
            <w:pPr>
              <w:spacing w:after="160" w:line="259" w:lineRule="auto"/>
              <w:rPr>
                <w:lang w:val="hr-HR"/>
              </w:rPr>
            </w:pPr>
            <w:r>
              <w:rPr>
                <w:rFonts w:eastAsia="Calibri"/>
                <w:lang w:val="hr-HR"/>
              </w:rPr>
              <w:t>-</w:t>
            </w:r>
          </w:p>
        </w:tc>
        <w:tc>
          <w:tcPr>
            <w:tcW w:w="1483" w:type="dxa"/>
          </w:tcPr>
          <w:p w:rsidR="008111E6" w:rsidRDefault="00177C47">
            <w:pPr>
              <w:spacing w:after="160" w:line="259" w:lineRule="auto"/>
              <w:rPr>
                <w:lang w:val="hr-HR"/>
              </w:rPr>
            </w:pPr>
            <w:r>
              <w:rPr>
                <w:rFonts w:eastAsia="Calibri"/>
                <w:lang w:val="hr-HR"/>
              </w:rPr>
              <w:t>-</w:t>
            </w:r>
          </w:p>
        </w:tc>
        <w:tc>
          <w:tcPr>
            <w:tcW w:w="1434" w:type="dxa"/>
          </w:tcPr>
          <w:p w:rsidR="008111E6" w:rsidRDefault="00177C47">
            <w:pPr>
              <w:spacing w:after="160" w:line="259" w:lineRule="auto"/>
              <w:rPr>
                <w:lang w:val="hr-HR"/>
              </w:rPr>
            </w:pPr>
            <w:r>
              <w:rPr>
                <w:rFonts w:eastAsia="Calibri"/>
                <w:lang w:val="hr-HR"/>
              </w:rPr>
              <w:t>-</w:t>
            </w:r>
          </w:p>
        </w:tc>
        <w:tc>
          <w:tcPr>
            <w:tcW w:w="1023" w:type="dxa"/>
          </w:tcPr>
          <w:p w:rsidR="008111E6" w:rsidRDefault="00177C47">
            <w:pPr>
              <w:spacing w:after="160" w:line="259" w:lineRule="auto"/>
              <w:rPr>
                <w:lang w:val="hr-HR"/>
              </w:rPr>
            </w:pPr>
            <w:r>
              <w:rPr>
                <w:rFonts w:eastAsia="Calibri"/>
                <w:lang w:val="hr-HR"/>
              </w:rPr>
              <w:t>-</w:t>
            </w:r>
          </w:p>
        </w:tc>
        <w:tc>
          <w:tcPr>
            <w:tcW w:w="576" w:type="dxa"/>
          </w:tcPr>
          <w:p w:rsidR="008111E6" w:rsidRDefault="00177C47">
            <w:pPr>
              <w:spacing w:after="160" w:line="259" w:lineRule="auto"/>
              <w:rPr>
                <w:lang w:val="hr-HR"/>
              </w:rPr>
            </w:pPr>
            <w:r>
              <w:rPr>
                <w:rFonts w:eastAsia="Calibri"/>
                <w:lang w:val="hr-HR"/>
              </w:rPr>
              <w:t>-</w:t>
            </w:r>
          </w:p>
        </w:tc>
        <w:tc>
          <w:tcPr>
            <w:tcW w:w="1201" w:type="dxa"/>
          </w:tcPr>
          <w:p w:rsidR="008111E6" w:rsidRDefault="00177C47">
            <w:pPr>
              <w:spacing w:after="160" w:line="259" w:lineRule="auto"/>
              <w:rPr>
                <w:lang w:val="hr-HR"/>
              </w:rPr>
            </w:pPr>
            <w:r>
              <w:rPr>
                <w:rFonts w:eastAsia="Calibri"/>
                <w:lang w:val="hr-HR"/>
              </w:rPr>
              <w:t>-</w:t>
            </w:r>
          </w:p>
        </w:tc>
      </w:tr>
    </w:tbl>
    <w:p w:rsidR="008111E6" w:rsidRDefault="008111E6">
      <w:pPr>
        <w:spacing w:line="259" w:lineRule="auto"/>
        <w:rPr>
          <w:lang w:val="hr-HR"/>
        </w:rPr>
      </w:pPr>
    </w:p>
    <w:p w:rsidR="008111E6" w:rsidRDefault="008111E6">
      <w:pPr>
        <w:spacing w:line="259" w:lineRule="auto"/>
        <w:rPr>
          <w:lang w:val="hr-HR"/>
        </w:rPr>
      </w:pPr>
    </w:p>
    <w:p w:rsidR="008111E6" w:rsidRDefault="00177C47">
      <w:pPr>
        <w:spacing w:line="259" w:lineRule="auto"/>
        <w:rPr>
          <w:lang w:val="hr-HR"/>
        </w:rPr>
      </w:pPr>
      <w:r>
        <w:rPr>
          <w:lang w:val="hr-HR"/>
        </w:rPr>
        <w:t>Tablica 2. Popis sudskih sporova u tijeku</w:t>
      </w:r>
    </w:p>
    <w:tbl>
      <w:tblPr>
        <w:tblStyle w:val="Reetkatablice"/>
        <w:tblW w:w="920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27"/>
        <w:gridCol w:w="987"/>
        <w:gridCol w:w="911"/>
        <w:gridCol w:w="828"/>
        <w:gridCol w:w="1072"/>
        <w:gridCol w:w="1085"/>
        <w:gridCol w:w="1171"/>
        <w:gridCol w:w="1036"/>
        <w:gridCol w:w="1292"/>
      </w:tblGrid>
      <w:tr w:rsidR="008111E6">
        <w:trPr>
          <w:trHeight w:val="1184"/>
        </w:trPr>
        <w:tc>
          <w:tcPr>
            <w:tcW w:w="826" w:type="dxa"/>
          </w:tcPr>
          <w:p w:rsidR="008111E6" w:rsidRDefault="008111E6">
            <w:pPr>
              <w:spacing w:after="160" w:line="259" w:lineRule="auto"/>
              <w:rPr>
                <w:lang w:val="hr-HR"/>
              </w:rPr>
            </w:pPr>
          </w:p>
          <w:p w:rsidR="008111E6" w:rsidRDefault="00177C47">
            <w:pPr>
              <w:spacing w:after="160" w:line="259" w:lineRule="auto"/>
              <w:rPr>
                <w:lang w:val="hr-HR"/>
              </w:rPr>
            </w:pPr>
            <w:r>
              <w:rPr>
                <w:rFonts w:eastAsia="Calibri"/>
                <w:lang w:val="hr-HR"/>
              </w:rPr>
              <w:t>RBR</w:t>
            </w:r>
          </w:p>
        </w:tc>
        <w:tc>
          <w:tcPr>
            <w:tcW w:w="987" w:type="dxa"/>
          </w:tcPr>
          <w:p w:rsidR="008111E6" w:rsidRDefault="008111E6">
            <w:pPr>
              <w:spacing w:after="160" w:line="259" w:lineRule="auto"/>
              <w:rPr>
                <w:lang w:val="hr-HR"/>
              </w:rPr>
            </w:pPr>
          </w:p>
          <w:p w:rsidR="008111E6" w:rsidRDefault="00177C47">
            <w:pPr>
              <w:spacing w:after="160" w:line="259" w:lineRule="auto"/>
              <w:rPr>
                <w:lang w:val="hr-HR"/>
              </w:rPr>
            </w:pPr>
            <w:r>
              <w:rPr>
                <w:rFonts w:eastAsia="Calibri"/>
                <w:lang w:val="hr-HR"/>
              </w:rPr>
              <w:t>Tuženik</w:t>
            </w:r>
          </w:p>
        </w:tc>
        <w:tc>
          <w:tcPr>
            <w:tcW w:w="911" w:type="dxa"/>
          </w:tcPr>
          <w:p w:rsidR="008111E6" w:rsidRDefault="008111E6">
            <w:pPr>
              <w:spacing w:after="160" w:line="259" w:lineRule="auto"/>
              <w:rPr>
                <w:lang w:val="hr-HR"/>
              </w:rPr>
            </w:pPr>
          </w:p>
          <w:p w:rsidR="008111E6" w:rsidRDefault="00177C47">
            <w:pPr>
              <w:spacing w:after="160" w:line="259" w:lineRule="auto"/>
              <w:rPr>
                <w:lang w:val="hr-HR"/>
              </w:rPr>
            </w:pPr>
            <w:r>
              <w:rPr>
                <w:rFonts w:eastAsia="Calibri"/>
                <w:lang w:val="hr-HR"/>
              </w:rPr>
              <w:t>Tužitelj</w:t>
            </w:r>
          </w:p>
        </w:tc>
        <w:tc>
          <w:tcPr>
            <w:tcW w:w="828" w:type="dxa"/>
          </w:tcPr>
          <w:p w:rsidR="008111E6" w:rsidRDefault="008111E6">
            <w:pPr>
              <w:spacing w:after="160" w:line="259" w:lineRule="auto"/>
              <w:rPr>
                <w:lang w:val="hr-HR"/>
              </w:rPr>
            </w:pPr>
          </w:p>
          <w:p w:rsidR="008111E6" w:rsidRDefault="00177C47">
            <w:pPr>
              <w:spacing w:after="160" w:line="259" w:lineRule="auto"/>
              <w:rPr>
                <w:lang w:val="hr-HR"/>
              </w:rPr>
            </w:pPr>
            <w:r>
              <w:rPr>
                <w:rFonts w:eastAsia="Calibri"/>
                <w:lang w:val="hr-HR"/>
              </w:rPr>
              <w:t>Sažeti opis spora</w:t>
            </w:r>
          </w:p>
        </w:tc>
        <w:tc>
          <w:tcPr>
            <w:tcW w:w="1072" w:type="dxa"/>
          </w:tcPr>
          <w:p w:rsidR="008111E6" w:rsidRDefault="008111E6">
            <w:pPr>
              <w:spacing w:after="160" w:line="259" w:lineRule="auto"/>
              <w:rPr>
                <w:lang w:val="hr-HR"/>
              </w:rPr>
            </w:pPr>
          </w:p>
          <w:p w:rsidR="008111E6" w:rsidRDefault="00177C47">
            <w:pPr>
              <w:spacing w:after="160" w:line="259" w:lineRule="auto"/>
              <w:rPr>
                <w:lang w:val="hr-HR"/>
              </w:rPr>
            </w:pPr>
            <w:r>
              <w:rPr>
                <w:rFonts w:eastAsia="Calibri"/>
                <w:lang w:val="hr-HR"/>
              </w:rPr>
              <w:t>Glavnica</w:t>
            </w:r>
          </w:p>
        </w:tc>
        <w:tc>
          <w:tcPr>
            <w:tcW w:w="1085" w:type="dxa"/>
          </w:tcPr>
          <w:p w:rsidR="008111E6" w:rsidRDefault="008111E6">
            <w:pPr>
              <w:spacing w:after="160" w:line="259" w:lineRule="auto"/>
              <w:rPr>
                <w:lang w:val="hr-HR"/>
              </w:rPr>
            </w:pPr>
          </w:p>
          <w:p w:rsidR="008111E6" w:rsidRDefault="00177C47">
            <w:pPr>
              <w:spacing w:after="160" w:line="259" w:lineRule="auto"/>
              <w:rPr>
                <w:lang w:val="hr-HR"/>
              </w:rPr>
            </w:pPr>
            <w:r>
              <w:rPr>
                <w:rFonts w:eastAsia="Calibri"/>
                <w:lang w:val="hr-HR"/>
              </w:rPr>
              <w:t>Procjena fin. Učinka</w:t>
            </w:r>
          </w:p>
        </w:tc>
        <w:tc>
          <w:tcPr>
            <w:tcW w:w="1171" w:type="dxa"/>
          </w:tcPr>
          <w:p w:rsidR="008111E6" w:rsidRDefault="00177C47">
            <w:pPr>
              <w:spacing w:after="160" w:line="259" w:lineRule="auto"/>
              <w:rPr>
                <w:lang w:val="hr-HR"/>
              </w:rPr>
            </w:pPr>
            <w:r>
              <w:rPr>
                <w:rFonts w:eastAsia="Calibri"/>
                <w:lang w:val="hr-HR"/>
              </w:rPr>
              <w:t>Procjena vremena odljeva ili priljeva sredstava</w:t>
            </w:r>
          </w:p>
        </w:tc>
        <w:tc>
          <w:tcPr>
            <w:tcW w:w="1036" w:type="dxa"/>
          </w:tcPr>
          <w:p w:rsidR="008111E6" w:rsidRDefault="008111E6">
            <w:pPr>
              <w:spacing w:after="160" w:line="259" w:lineRule="auto"/>
              <w:rPr>
                <w:lang w:val="hr-HR"/>
              </w:rPr>
            </w:pPr>
          </w:p>
          <w:p w:rsidR="008111E6" w:rsidRDefault="00177C47">
            <w:pPr>
              <w:spacing w:after="160" w:line="259" w:lineRule="auto"/>
              <w:rPr>
                <w:lang w:val="hr-HR"/>
              </w:rPr>
            </w:pPr>
            <w:r>
              <w:rPr>
                <w:rFonts w:eastAsia="Calibri"/>
                <w:lang w:val="hr-HR"/>
              </w:rPr>
              <w:t xml:space="preserve">Početak sudskog </w:t>
            </w:r>
            <w:r>
              <w:rPr>
                <w:rFonts w:eastAsia="Calibri"/>
                <w:lang w:val="hr-HR"/>
              </w:rPr>
              <w:t>spora</w:t>
            </w:r>
          </w:p>
        </w:tc>
        <w:tc>
          <w:tcPr>
            <w:tcW w:w="1292" w:type="dxa"/>
          </w:tcPr>
          <w:p w:rsidR="008111E6" w:rsidRDefault="008111E6">
            <w:pPr>
              <w:spacing w:after="160" w:line="259" w:lineRule="auto"/>
              <w:rPr>
                <w:lang w:val="hr-HR"/>
              </w:rPr>
            </w:pPr>
          </w:p>
          <w:p w:rsidR="008111E6" w:rsidRDefault="00177C47">
            <w:pPr>
              <w:spacing w:after="160" w:line="259" w:lineRule="auto"/>
              <w:rPr>
                <w:lang w:val="hr-HR"/>
              </w:rPr>
            </w:pPr>
            <w:r>
              <w:rPr>
                <w:rFonts w:eastAsia="Calibri"/>
                <w:lang w:val="hr-HR"/>
              </w:rPr>
              <w:t>Napomena</w:t>
            </w:r>
          </w:p>
        </w:tc>
      </w:tr>
      <w:tr w:rsidR="008111E6">
        <w:tc>
          <w:tcPr>
            <w:tcW w:w="826" w:type="dxa"/>
          </w:tcPr>
          <w:p w:rsidR="008111E6" w:rsidRDefault="00177C47">
            <w:pPr>
              <w:spacing w:after="160" w:line="259" w:lineRule="auto"/>
              <w:rPr>
                <w:lang w:val="hr-HR"/>
              </w:rPr>
            </w:pPr>
            <w:r>
              <w:rPr>
                <w:rFonts w:eastAsia="Calibri"/>
                <w:lang w:val="hr-HR"/>
              </w:rPr>
              <w:t>-</w:t>
            </w:r>
          </w:p>
        </w:tc>
        <w:tc>
          <w:tcPr>
            <w:tcW w:w="987" w:type="dxa"/>
          </w:tcPr>
          <w:p w:rsidR="008111E6" w:rsidRDefault="00177C47">
            <w:pPr>
              <w:spacing w:after="160" w:line="259" w:lineRule="auto"/>
              <w:rPr>
                <w:lang w:val="hr-HR"/>
              </w:rPr>
            </w:pPr>
            <w:r>
              <w:rPr>
                <w:rFonts w:eastAsia="Calibri"/>
                <w:lang w:val="hr-HR"/>
              </w:rPr>
              <w:t>-</w:t>
            </w:r>
          </w:p>
        </w:tc>
        <w:tc>
          <w:tcPr>
            <w:tcW w:w="911" w:type="dxa"/>
          </w:tcPr>
          <w:p w:rsidR="008111E6" w:rsidRDefault="00177C47">
            <w:pPr>
              <w:spacing w:after="160" w:line="259" w:lineRule="auto"/>
              <w:rPr>
                <w:lang w:val="hr-HR"/>
              </w:rPr>
            </w:pPr>
            <w:r>
              <w:rPr>
                <w:rFonts w:eastAsia="Calibri"/>
                <w:lang w:val="hr-HR"/>
              </w:rPr>
              <w:t>-</w:t>
            </w:r>
          </w:p>
        </w:tc>
        <w:tc>
          <w:tcPr>
            <w:tcW w:w="828" w:type="dxa"/>
          </w:tcPr>
          <w:p w:rsidR="008111E6" w:rsidRDefault="00177C47">
            <w:pPr>
              <w:spacing w:after="160" w:line="259" w:lineRule="auto"/>
              <w:rPr>
                <w:lang w:val="hr-HR"/>
              </w:rPr>
            </w:pPr>
            <w:r>
              <w:rPr>
                <w:rFonts w:eastAsia="Calibri"/>
                <w:lang w:val="hr-HR"/>
              </w:rPr>
              <w:t>-</w:t>
            </w:r>
          </w:p>
        </w:tc>
        <w:tc>
          <w:tcPr>
            <w:tcW w:w="1072" w:type="dxa"/>
          </w:tcPr>
          <w:p w:rsidR="008111E6" w:rsidRDefault="00177C47">
            <w:pPr>
              <w:spacing w:after="160" w:line="259" w:lineRule="auto"/>
              <w:rPr>
                <w:lang w:val="hr-HR"/>
              </w:rPr>
            </w:pPr>
            <w:r>
              <w:rPr>
                <w:rFonts w:eastAsia="Calibri"/>
                <w:lang w:val="hr-HR"/>
              </w:rPr>
              <w:t>-</w:t>
            </w:r>
          </w:p>
        </w:tc>
        <w:tc>
          <w:tcPr>
            <w:tcW w:w="1085" w:type="dxa"/>
          </w:tcPr>
          <w:p w:rsidR="008111E6" w:rsidRDefault="00177C47">
            <w:pPr>
              <w:spacing w:after="160" w:line="259" w:lineRule="auto"/>
              <w:rPr>
                <w:lang w:val="hr-HR"/>
              </w:rPr>
            </w:pPr>
            <w:r>
              <w:rPr>
                <w:rFonts w:eastAsia="Calibri"/>
                <w:lang w:val="hr-HR"/>
              </w:rPr>
              <w:t>-</w:t>
            </w:r>
          </w:p>
        </w:tc>
        <w:tc>
          <w:tcPr>
            <w:tcW w:w="1171" w:type="dxa"/>
          </w:tcPr>
          <w:p w:rsidR="008111E6" w:rsidRDefault="00177C47">
            <w:pPr>
              <w:spacing w:after="160" w:line="259" w:lineRule="auto"/>
              <w:rPr>
                <w:lang w:val="hr-HR"/>
              </w:rPr>
            </w:pPr>
            <w:r>
              <w:rPr>
                <w:rFonts w:eastAsia="Calibri"/>
                <w:lang w:val="hr-HR"/>
              </w:rPr>
              <w:t>-</w:t>
            </w:r>
          </w:p>
        </w:tc>
        <w:tc>
          <w:tcPr>
            <w:tcW w:w="1036" w:type="dxa"/>
          </w:tcPr>
          <w:p w:rsidR="008111E6" w:rsidRDefault="00177C47">
            <w:pPr>
              <w:spacing w:after="160" w:line="259" w:lineRule="auto"/>
              <w:rPr>
                <w:lang w:val="hr-HR"/>
              </w:rPr>
            </w:pPr>
            <w:r>
              <w:rPr>
                <w:rFonts w:eastAsia="Calibri"/>
                <w:lang w:val="hr-HR"/>
              </w:rPr>
              <w:t>-</w:t>
            </w:r>
          </w:p>
        </w:tc>
        <w:tc>
          <w:tcPr>
            <w:tcW w:w="1292" w:type="dxa"/>
          </w:tcPr>
          <w:p w:rsidR="008111E6" w:rsidRDefault="00177C47">
            <w:pPr>
              <w:spacing w:after="160" w:line="259" w:lineRule="auto"/>
              <w:rPr>
                <w:lang w:val="hr-HR"/>
              </w:rPr>
            </w:pPr>
            <w:r>
              <w:rPr>
                <w:rFonts w:eastAsia="Calibri"/>
                <w:lang w:val="hr-HR"/>
              </w:rPr>
              <w:t>-</w:t>
            </w:r>
          </w:p>
        </w:tc>
      </w:tr>
      <w:tr w:rsidR="008111E6">
        <w:tc>
          <w:tcPr>
            <w:tcW w:w="826" w:type="dxa"/>
          </w:tcPr>
          <w:p w:rsidR="008111E6" w:rsidRDefault="00177C47">
            <w:pPr>
              <w:spacing w:after="160" w:line="259" w:lineRule="auto"/>
              <w:rPr>
                <w:lang w:val="hr-HR"/>
              </w:rPr>
            </w:pPr>
            <w:r>
              <w:rPr>
                <w:rFonts w:eastAsia="Calibri"/>
                <w:lang w:val="hr-HR"/>
              </w:rPr>
              <w:t>-</w:t>
            </w:r>
          </w:p>
        </w:tc>
        <w:tc>
          <w:tcPr>
            <w:tcW w:w="987" w:type="dxa"/>
          </w:tcPr>
          <w:p w:rsidR="008111E6" w:rsidRDefault="00177C47">
            <w:pPr>
              <w:spacing w:after="160" w:line="259" w:lineRule="auto"/>
              <w:rPr>
                <w:lang w:val="hr-HR"/>
              </w:rPr>
            </w:pPr>
            <w:r>
              <w:rPr>
                <w:rFonts w:eastAsia="Calibri"/>
                <w:lang w:val="hr-HR"/>
              </w:rPr>
              <w:t>-</w:t>
            </w:r>
          </w:p>
        </w:tc>
        <w:tc>
          <w:tcPr>
            <w:tcW w:w="911" w:type="dxa"/>
          </w:tcPr>
          <w:p w:rsidR="008111E6" w:rsidRDefault="00177C47">
            <w:pPr>
              <w:spacing w:after="160" w:line="259" w:lineRule="auto"/>
              <w:rPr>
                <w:lang w:val="hr-HR"/>
              </w:rPr>
            </w:pPr>
            <w:r>
              <w:rPr>
                <w:rFonts w:eastAsia="Calibri"/>
                <w:lang w:val="hr-HR"/>
              </w:rPr>
              <w:t>-</w:t>
            </w:r>
          </w:p>
        </w:tc>
        <w:tc>
          <w:tcPr>
            <w:tcW w:w="828" w:type="dxa"/>
          </w:tcPr>
          <w:p w:rsidR="008111E6" w:rsidRDefault="00177C47">
            <w:pPr>
              <w:spacing w:after="160" w:line="259" w:lineRule="auto"/>
              <w:rPr>
                <w:lang w:val="hr-HR"/>
              </w:rPr>
            </w:pPr>
            <w:r>
              <w:rPr>
                <w:rFonts w:eastAsia="Calibri"/>
                <w:lang w:val="hr-HR"/>
              </w:rPr>
              <w:t>-</w:t>
            </w:r>
          </w:p>
        </w:tc>
        <w:tc>
          <w:tcPr>
            <w:tcW w:w="1072" w:type="dxa"/>
          </w:tcPr>
          <w:p w:rsidR="008111E6" w:rsidRDefault="00177C47">
            <w:pPr>
              <w:spacing w:after="160" w:line="259" w:lineRule="auto"/>
              <w:rPr>
                <w:lang w:val="hr-HR"/>
              </w:rPr>
            </w:pPr>
            <w:r>
              <w:rPr>
                <w:rFonts w:eastAsia="Calibri"/>
                <w:lang w:val="hr-HR"/>
              </w:rPr>
              <w:t>-</w:t>
            </w:r>
          </w:p>
        </w:tc>
        <w:tc>
          <w:tcPr>
            <w:tcW w:w="1085" w:type="dxa"/>
          </w:tcPr>
          <w:p w:rsidR="008111E6" w:rsidRDefault="00177C47">
            <w:pPr>
              <w:spacing w:after="160" w:line="259" w:lineRule="auto"/>
              <w:rPr>
                <w:lang w:val="hr-HR"/>
              </w:rPr>
            </w:pPr>
            <w:r>
              <w:rPr>
                <w:rFonts w:eastAsia="Calibri"/>
                <w:lang w:val="hr-HR"/>
              </w:rPr>
              <w:t>-</w:t>
            </w:r>
          </w:p>
        </w:tc>
        <w:tc>
          <w:tcPr>
            <w:tcW w:w="1171" w:type="dxa"/>
          </w:tcPr>
          <w:p w:rsidR="008111E6" w:rsidRDefault="00177C47">
            <w:pPr>
              <w:spacing w:after="160" w:line="259" w:lineRule="auto"/>
              <w:rPr>
                <w:lang w:val="hr-HR"/>
              </w:rPr>
            </w:pPr>
            <w:r>
              <w:rPr>
                <w:rFonts w:eastAsia="Calibri"/>
                <w:lang w:val="hr-HR"/>
              </w:rPr>
              <w:t>-</w:t>
            </w:r>
          </w:p>
        </w:tc>
        <w:tc>
          <w:tcPr>
            <w:tcW w:w="1036" w:type="dxa"/>
          </w:tcPr>
          <w:p w:rsidR="008111E6" w:rsidRDefault="00177C47">
            <w:pPr>
              <w:spacing w:after="160" w:line="259" w:lineRule="auto"/>
              <w:rPr>
                <w:lang w:val="hr-HR"/>
              </w:rPr>
            </w:pPr>
            <w:r>
              <w:rPr>
                <w:rFonts w:eastAsia="Calibri"/>
                <w:lang w:val="hr-HR"/>
              </w:rPr>
              <w:t>-</w:t>
            </w:r>
          </w:p>
        </w:tc>
        <w:tc>
          <w:tcPr>
            <w:tcW w:w="1292" w:type="dxa"/>
          </w:tcPr>
          <w:p w:rsidR="008111E6" w:rsidRDefault="00177C47">
            <w:pPr>
              <w:spacing w:after="160" w:line="259" w:lineRule="auto"/>
              <w:rPr>
                <w:lang w:val="hr-HR"/>
              </w:rPr>
            </w:pPr>
            <w:r>
              <w:rPr>
                <w:rFonts w:eastAsia="Calibri"/>
                <w:lang w:val="hr-HR"/>
              </w:rPr>
              <w:t>-</w:t>
            </w:r>
          </w:p>
        </w:tc>
      </w:tr>
    </w:tbl>
    <w:p w:rsidR="008111E6" w:rsidRDefault="008111E6">
      <w:pPr>
        <w:spacing w:line="259" w:lineRule="auto"/>
        <w:rPr>
          <w:lang w:val="hr-HR"/>
        </w:rPr>
      </w:pPr>
    </w:p>
    <w:p w:rsidR="008111E6" w:rsidRDefault="008111E6">
      <w:pPr>
        <w:spacing w:line="259" w:lineRule="auto"/>
        <w:rPr>
          <w:lang w:val="hr-HR"/>
        </w:rPr>
      </w:pPr>
    </w:p>
    <w:p w:rsidR="008111E6" w:rsidRDefault="008111E6">
      <w:pPr>
        <w:spacing w:line="259" w:lineRule="auto"/>
        <w:rPr>
          <w:lang w:val="hr-HR"/>
        </w:rPr>
      </w:pPr>
    </w:p>
    <w:p w:rsidR="008111E6" w:rsidRDefault="00177C47">
      <w:pPr>
        <w:spacing w:line="259" w:lineRule="auto"/>
        <w:rPr>
          <w:lang w:val="hr-HR"/>
        </w:rPr>
      </w:pPr>
      <w:r>
        <w:rPr>
          <w:b/>
          <w:bCs/>
          <w:lang w:val="hr-HR"/>
        </w:rPr>
        <w:t>Šušnjevica, 31. siječanj 2025. godine</w:t>
      </w:r>
    </w:p>
    <w:p w:rsidR="008111E6" w:rsidRDefault="00177C47">
      <w:pPr>
        <w:spacing w:after="160" w:line="259" w:lineRule="auto"/>
        <w:rPr>
          <w:b/>
          <w:bCs/>
          <w:lang w:val="hr-HR"/>
        </w:rPr>
      </w:pPr>
      <w:r>
        <w:rPr>
          <w:b/>
          <w:bCs/>
          <w:lang w:val="hr-HR"/>
        </w:rPr>
        <w:t xml:space="preserve">Osoba za kontaktiranje: Svjetlana </w:t>
      </w:r>
      <w:proofErr w:type="spellStart"/>
      <w:r>
        <w:rPr>
          <w:b/>
          <w:bCs/>
          <w:lang w:val="hr-HR"/>
        </w:rPr>
        <w:t>Zatković</w:t>
      </w:r>
      <w:proofErr w:type="spellEnd"/>
      <w:r>
        <w:rPr>
          <w:b/>
          <w:bCs/>
          <w:lang w:val="hr-HR"/>
        </w:rPr>
        <w:t xml:space="preserve">                                                  Ravnateljica</w:t>
      </w:r>
    </w:p>
    <w:p w:rsidR="008111E6" w:rsidRDefault="00177C47">
      <w:pPr>
        <w:spacing w:after="160" w:line="259" w:lineRule="auto"/>
        <w:rPr>
          <w:b/>
          <w:bCs/>
          <w:lang w:val="hr-HR"/>
        </w:rPr>
      </w:pPr>
      <w:r>
        <w:rPr>
          <w:b/>
          <w:bCs/>
          <w:lang w:val="hr-HR"/>
        </w:rPr>
        <w:t xml:space="preserve">Telefon: 051/375013   </w:t>
      </w:r>
      <w:r w:rsidR="00B6318D">
        <w:rPr>
          <w:b/>
          <w:bCs/>
          <w:lang w:val="hr-HR"/>
        </w:rPr>
        <w:br/>
      </w:r>
      <w:r w:rsidR="00B6318D">
        <w:rPr>
          <w:b/>
          <w:bCs/>
          <w:lang w:val="hr-HR"/>
        </w:rPr>
        <w:br/>
        <w:t>KLASA: 400-01/25-01/01</w:t>
      </w:r>
      <w:r w:rsidR="00B6318D">
        <w:rPr>
          <w:b/>
          <w:bCs/>
          <w:lang w:val="hr-HR"/>
        </w:rPr>
        <w:br/>
        <w:t>URBROJ: 2144/4-58-03-25-2</w:t>
      </w:r>
      <w:r>
        <w:rPr>
          <w:b/>
          <w:bCs/>
          <w:lang w:val="hr-HR"/>
        </w:rPr>
        <w:t xml:space="preserve">    </w:t>
      </w:r>
      <w:r>
        <w:rPr>
          <w:b/>
          <w:bCs/>
          <w:lang w:val="hr-HR"/>
        </w:rPr>
        <w:t xml:space="preserve">                                                                </w:t>
      </w:r>
      <w:r>
        <w:rPr>
          <w:b/>
          <w:bCs/>
          <w:lang w:val="hr-HR"/>
        </w:rPr>
        <w:tab/>
      </w:r>
      <w:proofErr w:type="spellStart"/>
      <w:r>
        <w:rPr>
          <w:b/>
          <w:bCs/>
          <w:lang w:val="hr-HR"/>
        </w:rPr>
        <w:t>Viviana</w:t>
      </w:r>
      <w:proofErr w:type="spellEnd"/>
      <w:r>
        <w:rPr>
          <w:b/>
          <w:bCs/>
          <w:lang w:val="hr-HR"/>
        </w:rPr>
        <w:t xml:space="preserve"> </w:t>
      </w:r>
      <w:proofErr w:type="spellStart"/>
      <w:r>
        <w:rPr>
          <w:b/>
          <w:bCs/>
          <w:lang w:val="hr-HR"/>
        </w:rPr>
        <w:t>Brkarić</w:t>
      </w:r>
      <w:proofErr w:type="spellEnd"/>
      <w:r>
        <w:rPr>
          <w:b/>
          <w:bCs/>
          <w:lang w:val="hr-HR"/>
        </w:rPr>
        <w:t xml:space="preserve">, </w:t>
      </w:r>
      <w:proofErr w:type="spellStart"/>
      <w:r>
        <w:rPr>
          <w:b/>
          <w:bCs/>
          <w:lang w:val="hr-HR"/>
        </w:rPr>
        <w:t>mag.oec</w:t>
      </w:r>
      <w:proofErr w:type="spellEnd"/>
      <w:r>
        <w:rPr>
          <w:b/>
          <w:bCs/>
          <w:lang w:val="hr-HR"/>
        </w:rPr>
        <w:t>.</w:t>
      </w:r>
    </w:p>
    <w:p w:rsidR="008111E6" w:rsidRDefault="00177C47">
      <w:pPr>
        <w:spacing w:after="160" w:line="259" w:lineRule="auto"/>
        <w:ind w:left="4320"/>
        <w:rPr>
          <w:bCs/>
          <w:sz w:val="24"/>
          <w:szCs w:val="24"/>
          <w:lang w:val="en-GB"/>
        </w:rPr>
      </w:pP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  <w:t xml:space="preserve">      </w:t>
      </w:r>
      <w:bookmarkStart w:id="0" w:name="_GoBack"/>
      <w:bookmarkEnd w:id="0"/>
    </w:p>
    <w:p w:rsidR="008111E6" w:rsidRDefault="00177C47">
      <w:pPr>
        <w:spacing w:after="160" w:line="259" w:lineRule="auto"/>
        <w:rPr>
          <w:b/>
          <w:bCs/>
          <w:lang w:val="hr-HR"/>
        </w:rPr>
      </w:pPr>
      <w:r>
        <w:rPr>
          <w:b/>
          <w:bCs/>
          <w:lang w:val="hr-HR"/>
        </w:rPr>
        <w:t xml:space="preserve"> </w:t>
      </w:r>
    </w:p>
    <w:p w:rsidR="008111E6" w:rsidRDefault="008111E6">
      <w:pPr>
        <w:spacing w:line="259" w:lineRule="auto"/>
        <w:rPr>
          <w:b/>
          <w:bCs/>
          <w:lang w:val="hr-HR"/>
        </w:rPr>
      </w:pPr>
    </w:p>
    <w:p w:rsidR="008111E6" w:rsidRDefault="008111E6"/>
    <w:p w:rsidR="008111E6" w:rsidRDefault="008111E6">
      <w:pPr>
        <w:jc w:val="center"/>
        <w:rPr>
          <w:b/>
          <w:sz w:val="24"/>
          <w:szCs w:val="24"/>
          <w:lang w:val="hr-HR"/>
        </w:rPr>
      </w:pPr>
    </w:p>
    <w:sectPr w:rsidR="008111E6">
      <w:headerReference w:type="even" r:id="rId8"/>
      <w:headerReference w:type="default" r:id="rId9"/>
      <w:headerReference w:type="first" r:id="rId10"/>
      <w:pgSz w:w="12240" w:h="15840"/>
      <w:pgMar w:top="851" w:right="1417" w:bottom="1417" w:left="1417" w:header="567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C47" w:rsidRDefault="00177C47">
      <w:pPr>
        <w:spacing w:after="0" w:line="240" w:lineRule="auto"/>
      </w:pPr>
      <w:r>
        <w:separator/>
      </w:r>
    </w:p>
  </w:endnote>
  <w:endnote w:type="continuationSeparator" w:id="0">
    <w:p w:rsidR="00177C47" w:rsidRDefault="00177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C47" w:rsidRDefault="00177C47">
      <w:pPr>
        <w:spacing w:after="0" w:line="240" w:lineRule="auto"/>
      </w:pPr>
      <w:r>
        <w:separator/>
      </w:r>
    </w:p>
  </w:footnote>
  <w:footnote w:type="continuationSeparator" w:id="0">
    <w:p w:rsidR="00177C47" w:rsidRDefault="00177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1E6" w:rsidRDefault="008111E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1E6" w:rsidRDefault="008111E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1E6" w:rsidRDefault="00177C47">
    <w:pPr>
      <w:pStyle w:val="Zaglavlje"/>
    </w:pPr>
    <w:r>
      <w:rPr>
        <w:noProof/>
      </w:rPr>
      <w:drawing>
        <wp:anchor distT="0" distB="360045" distL="0" distR="360045" simplePos="0" relativeHeight="2" behindDoc="1" locked="0" layoutInCell="0" allowOverlap="1">
          <wp:simplePos x="0" y="0"/>
          <wp:positionH relativeFrom="page">
            <wp:posOffset>895350</wp:posOffset>
          </wp:positionH>
          <wp:positionV relativeFrom="page">
            <wp:posOffset>361950</wp:posOffset>
          </wp:positionV>
          <wp:extent cx="1029335" cy="1087120"/>
          <wp:effectExtent l="0" t="0" r="0" b="0"/>
          <wp:wrapSquare wrapText="bothSides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1087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1E6"/>
    <w:rsid w:val="00177C47"/>
    <w:rsid w:val="008111E6"/>
    <w:rsid w:val="008B2ACC"/>
    <w:rsid w:val="009370A5"/>
    <w:rsid w:val="00B6318D"/>
    <w:rsid w:val="00BB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9DF40"/>
  <w15:docId w15:val="{5532CEC4-A97B-43B0-B4DB-F66A98F3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1B91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E31B91"/>
  </w:style>
  <w:style w:type="character" w:customStyle="1" w:styleId="PodnojeChar">
    <w:name w:val="Podnožje Char"/>
    <w:basedOn w:val="Zadanifontodlomka"/>
    <w:link w:val="Podnoje"/>
    <w:uiPriority w:val="99"/>
    <w:qFormat/>
    <w:rsid w:val="00E31B91"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E31B91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E31B91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94B1B"/>
    <w:rPr>
      <w:color w:val="800080" w:themeColor="followedHyperlink"/>
      <w:u w:val="single"/>
    </w:rPr>
  </w:style>
  <w:style w:type="character" w:styleId="Naglaeno">
    <w:name w:val="Strong"/>
    <w:basedOn w:val="Zadanifontodlomka"/>
    <w:uiPriority w:val="22"/>
    <w:qFormat/>
    <w:rsid w:val="00F55AD8"/>
    <w:rPr>
      <w:b/>
      <w:bCs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E31B91"/>
    <w:pPr>
      <w:tabs>
        <w:tab w:val="center" w:pos="4703"/>
        <w:tab w:val="right" w:pos="9406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E31B91"/>
    <w:pPr>
      <w:tabs>
        <w:tab w:val="center" w:pos="4703"/>
        <w:tab w:val="right" w:pos="9406"/>
      </w:tabs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E31B9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4C424A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vlaskiputi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vlaskiputi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Korisnik</cp:lastModifiedBy>
  <cp:revision>2</cp:revision>
  <dcterms:created xsi:type="dcterms:W3CDTF">2025-02-05T12:10:00Z</dcterms:created>
  <dcterms:modified xsi:type="dcterms:W3CDTF">2025-02-05T12:10:00Z</dcterms:modified>
  <dc:language>hr-HR</dc:language>
</cp:coreProperties>
</file>